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257FBFAD" w:rsidR="00AA147A" w:rsidRPr="006055AB" w:rsidRDefault="00AA147A" w:rsidP="00AA147A">
      <w:pPr>
        <w:pStyle w:val="a3"/>
        <w:tabs>
          <w:tab w:val="clear" w:pos="4320"/>
          <w:tab w:val="clear" w:pos="8640"/>
          <w:tab w:val="right" w:pos="9072"/>
        </w:tabs>
        <w:rPr>
          <w:b/>
          <w:bCs/>
          <w:sz w:val="22"/>
          <w:szCs w:val="22"/>
          <w:lang w:val="en-AU"/>
        </w:rPr>
      </w:pPr>
      <w:r w:rsidRPr="006055AB">
        <w:rPr>
          <w:b/>
          <w:bCs/>
          <w:sz w:val="22"/>
          <w:szCs w:val="22"/>
          <w:lang w:val="en-AU"/>
        </w:rPr>
        <w:t>3GPP TSG RAN WG1 Meeting #</w:t>
      </w:r>
      <w:r w:rsidR="00DC7C14" w:rsidRPr="006055AB">
        <w:rPr>
          <w:b/>
          <w:bCs/>
          <w:sz w:val="22"/>
          <w:szCs w:val="22"/>
          <w:lang w:val="en-AU"/>
        </w:rPr>
        <w:t>9</w:t>
      </w:r>
      <w:r w:rsidR="00FE3D4D">
        <w:rPr>
          <w:b/>
          <w:bCs/>
          <w:sz w:val="22"/>
          <w:szCs w:val="22"/>
          <w:lang w:val="en-AU"/>
        </w:rPr>
        <w:t>5</w:t>
      </w:r>
      <w:r w:rsidRPr="006055AB">
        <w:rPr>
          <w:b/>
          <w:bCs/>
          <w:sz w:val="22"/>
          <w:szCs w:val="22"/>
          <w:lang w:val="en-AU"/>
        </w:rPr>
        <w:tab/>
      </w:r>
      <w:r w:rsidR="00A52894" w:rsidRPr="00A52894">
        <w:rPr>
          <w:b/>
          <w:bCs/>
          <w:sz w:val="22"/>
          <w:szCs w:val="22"/>
          <w:lang w:val="en-AU"/>
        </w:rPr>
        <w:t>R1-1812648</w:t>
      </w:r>
    </w:p>
    <w:p w14:paraId="497E143A" w14:textId="77777777" w:rsidR="00FE3D4D" w:rsidRPr="004D2AB8" w:rsidRDefault="00FE3D4D" w:rsidP="00FE3D4D">
      <w:pPr>
        <w:pStyle w:val="a3"/>
        <w:rPr>
          <w:b/>
          <w:bCs/>
          <w:sz w:val="22"/>
          <w:szCs w:val="22"/>
          <w:lang w:val="en-GB"/>
        </w:rPr>
      </w:pPr>
      <w:r w:rsidRPr="00D85D7A">
        <w:rPr>
          <w:b/>
          <w:bCs/>
          <w:sz w:val="22"/>
          <w:szCs w:val="22"/>
          <w:lang w:val="en-GB"/>
        </w:rPr>
        <w:t>Spokane, USA, November 12th – 16th, 2018</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A52894" w:rsidRDefault="00AA147A" w:rsidP="00AA147A">
      <w:pPr>
        <w:pStyle w:val="a3"/>
        <w:rPr>
          <w:b/>
          <w:bCs/>
          <w:sz w:val="22"/>
          <w:szCs w:val="22"/>
          <w:lang w:val="en-GB"/>
        </w:rPr>
      </w:pPr>
    </w:p>
    <w:p w14:paraId="04F94269" w14:textId="746E3BAC"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E431C2">
        <w:rPr>
          <w:b/>
          <w:bCs/>
          <w:sz w:val="22"/>
          <w:szCs w:val="22"/>
          <w:lang w:val="en-AU"/>
        </w:rPr>
        <w:t>1</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0267B6A8"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ED7CD8">
        <w:rPr>
          <w:b/>
          <w:bCs/>
          <w:sz w:val="22"/>
          <w:szCs w:val="22"/>
          <w:lang w:val="en-AU"/>
        </w:rPr>
        <w:t xml:space="preserve">Physical layer </w:t>
      </w:r>
      <w:r w:rsidR="00E431C2">
        <w:rPr>
          <w:b/>
          <w:bCs/>
          <w:sz w:val="22"/>
          <w:szCs w:val="22"/>
          <w:lang w:val="en-AU"/>
        </w:rPr>
        <w:t>structure</w:t>
      </w:r>
      <w:r w:rsidR="00ED7CD8">
        <w:rPr>
          <w:b/>
          <w:bCs/>
          <w:sz w:val="22"/>
          <w:szCs w:val="22"/>
          <w:lang w:val="en-AU"/>
        </w:rPr>
        <w:t xml:space="preserve"> for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57AE28EF" w:rsidR="005418B2" w:rsidRPr="00DD3E54" w:rsidRDefault="00384B0A" w:rsidP="005418B2">
      <w:pPr>
        <w:jc w:val="both"/>
        <w:rPr>
          <w:sz w:val="22"/>
          <w:szCs w:val="22"/>
        </w:rPr>
      </w:pPr>
      <w:r w:rsidRPr="00DD3E54">
        <w:rPr>
          <w:sz w:val="22"/>
          <w:szCs w:val="22"/>
        </w:rPr>
        <w:t xml:space="preserve">NR-V2X SI was approved in the RAN#80 meeting </w:t>
      </w:r>
      <w:r w:rsidRPr="00DD3E54">
        <w:rPr>
          <w:sz w:val="22"/>
          <w:szCs w:val="22"/>
        </w:rPr>
        <w:fldChar w:fldCharType="begin"/>
      </w:r>
      <w:r w:rsidRPr="00DD3E54">
        <w:rPr>
          <w:sz w:val="22"/>
          <w:szCs w:val="22"/>
        </w:rPr>
        <w:instrText xml:space="preserve"> REF _Ref521069630 \r \h </w:instrText>
      </w:r>
      <w:r w:rsidR="006055AB" w:rsidRPr="00DD3E54">
        <w:rPr>
          <w:sz w:val="22"/>
          <w:szCs w:val="22"/>
        </w:rPr>
        <w:instrText xml:space="preserve"> \* MERGEFORMAT </w:instrText>
      </w:r>
      <w:r w:rsidRPr="00DD3E54">
        <w:rPr>
          <w:sz w:val="22"/>
          <w:szCs w:val="22"/>
        </w:rPr>
      </w:r>
      <w:r w:rsidRPr="00DD3E54">
        <w:rPr>
          <w:sz w:val="22"/>
          <w:szCs w:val="22"/>
        </w:rPr>
        <w:fldChar w:fldCharType="separate"/>
      </w:r>
      <w:r w:rsidRPr="00DD3E54">
        <w:rPr>
          <w:sz w:val="22"/>
          <w:szCs w:val="22"/>
        </w:rPr>
        <w:t>[1]</w:t>
      </w:r>
      <w:r w:rsidRPr="00DD3E54">
        <w:rPr>
          <w:sz w:val="22"/>
          <w:szCs w:val="22"/>
        </w:rPr>
        <w:fldChar w:fldCharType="end"/>
      </w:r>
      <w:r w:rsidRPr="00DD3E54">
        <w:rPr>
          <w:sz w:val="22"/>
          <w:szCs w:val="22"/>
        </w:rPr>
        <w:t>, i</w:t>
      </w:r>
      <w:r w:rsidR="005418B2" w:rsidRPr="00DD3E54">
        <w:rPr>
          <w:sz w:val="22"/>
          <w:szCs w:val="22"/>
        </w:rPr>
        <w:t xml:space="preserve">n the last RAN1 meeting, </w:t>
      </w:r>
      <w:r w:rsidR="00601884" w:rsidRPr="00DD3E54">
        <w:rPr>
          <w:sz w:val="22"/>
          <w:szCs w:val="22"/>
        </w:rPr>
        <w:t>issues related to physical layer structure for NR V2X were discussed with following agreements</w:t>
      </w:r>
      <w:r w:rsidRPr="00DD3E54">
        <w:rPr>
          <w:sz w:val="22"/>
          <w:szCs w:val="22"/>
        </w:rPr>
        <w:fldChar w:fldCharType="begin"/>
      </w:r>
      <w:r w:rsidRPr="00DD3E54">
        <w:rPr>
          <w:sz w:val="22"/>
          <w:szCs w:val="22"/>
        </w:rPr>
        <w:instrText xml:space="preserve"> REF _Ref525032988 \r \h </w:instrText>
      </w:r>
      <w:r w:rsidR="006055AB" w:rsidRPr="00DD3E54">
        <w:rPr>
          <w:sz w:val="22"/>
          <w:szCs w:val="22"/>
        </w:rPr>
        <w:instrText xml:space="preserve"> \* MERGEFORMAT </w:instrText>
      </w:r>
      <w:r w:rsidRPr="00DD3E54">
        <w:rPr>
          <w:sz w:val="22"/>
          <w:szCs w:val="22"/>
        </w:rPr>
      </w:r>
      <w:r w:rsidRPr="00DD3E54">
        <w:rPr>
          <w:sz w:val="22"/>
          <w:szCs w:val="22"/>
        </w:rPr>
        <w:fldChar w:fldCharType="separate"/>
      </w:r>
      <w:r w:rsidRPr="00DD3E54">
        <w:rPr>
          <w:sz w:val="22"/>
          <w:szCs w:val="22"/>
        </w:rPr>
        <w:t>[2]</w:t>
      </w:r>
      <w:r w:rsidRPr="00DD3E54">
        <w:rPr>
          <w:sz w:val="22"/>
          <w:szCs w:val="22"/>
        </w:rPr>
        <w:fldChar w:fldCharType="end"/>
      </w:r>
      <w:r w:rsidR="005418B2" w:rsidRPr="00DD3E54">
        <w:rPr>
          <w:sz w:val="22"/>
          <w:szCs w:val="22"/>
        </w:rPr>
        <w:t>:</w:t>
      </w:r>
    </w:p>
    <w:p w14:paraId="13341D38" w14:textId="77777777" w:rsidR="005418B2" w:rsidRPr="00DD3E54" w:rsidRDefault="005418B2" w:rsidP="005418B2">
      <w:pPr>
        <w:rPr>
          <w:sz w:val="22"/>
          <w:szCs w:val="22"/>
          <w:highlight w:val="green"/>
          <w:lang w:eastAsia="x-none"/>
        </w:rPr>
      </w:pPr>
    </w:p>
    <w:p w14:paraId="57A027A4" w14:textId="77777777" w:rsidR="00495998" w:rsidRPr="00DD3E54" w:rsidRDefault="00495998" w:rsidP="00495998">
      <w:pPr>
        <w:rPr>
          <w:sz w:val="22"/>
          <w:szCs w:val="22"/>
          <w:lang w:eastAsia="x-none"/>
        </w:rPr>
      </w:pPr>
      <w:r w:rsidRPr="00DD3E54">
        <w:rPr>
          <w:sz w:val="22"/>
          <w:szCs w:val="22"/>
          <w:highlight w:val="green"/>
          <w:lang w:eastAsia="x-none"/>
        </w:rPr>
        <w:t>Agreements</w:t>
      </w:r>
      <w:r w:rsidRPr="00DD3E54">
        <w:rPr>
          <w:sz w:val="22"/>
          <w:szCs w:val="22"/>
          <w:lang w:eastAsia="x-none"/>
        </w:rPr>
        <w:t>:</w:t>
      </w:r>
    </w:p>
    <w:p w14:paraId="361DADEC" w14:textId="77777777" w:rsidR="00495998" w:rsidRPr="00DD3E54" w:rsidRDefault="00495998" w:rsidP="00495998">
      <w:pPr>
        <w:numPr>
          <w:ilvl w:val="0"/>
          <w:numId w:val="9"/>
        </w:numPr>
        <w:overflowPunct w:val="0"/>
        <w:autoSpaceDE w:val="0"/>
        <w:autoSpaceDN w:val="0"/>
        <w:spacing w:after="120"/>
        <w:contextualSpacing/>
        <w:jc w:val="both"/>
        <w:textAlignment w:val="baseline"/>
        <w:rPr>
          <w:sz w:val="22"/>
          <w:szCs w:val="22"/>
        </w:rPr>
      </w:pPr>
      <w:r w:rsidRPr="00DD3E54">
        <w:rPr>
          <w:sz w:val="22"/>
          <w:szCs w:val="22"/>
          <w:lang w:eastAsia="ko-KR"/>
        </w:rPr>
        <w:t xml:space="preserve">NR sidelink supports </w:t>
      </w:r>
      <w:r w:rsidRPr="00DD3E54">
        <w:rPr>
          <w:sz w:val="22"/>
          <w:szCs w:val="22"/>
        </w:rPr>
        <w:t>the SCSs supported by Uu in a given frequency range, i.e., {15, 30, 60 kHz} in FR1 and {60, 120 kHz} in FR2.</w:t>
      </w:r>
    </w:p>
    <w:p w14:paraId="2BA60D6E" w14:textId="77777777" w:rsidR="00495998" w:rsidRPr="00DD3E54" w:rsidRDefault="00495998" w:rsidP="00495998">
      <w:pPr>
        <w:numPr>
          <w:ilvl w:val="1"/>
          <w:numId w:val="9"/>
        </w:numPr>
        <w:overflowPunct w:val="0"/>
        <w:autoSpaceDE w:val="0"/>
        <w:autoSpaceDN w:val="0"/>
        <w:spacing w:after="120"/>
        <w:contextualSpacing/>
        <w:jc w:val="both"/>
        <w:textAlignment w:val="baseline"/>
        <w:rPr>
          <w:sz w:val="22"/>
          <w:szCs w:val="22"/>
          <w:lang w:eastAsia="ja-JP"/>
        </w:rPr>
      </w:pPr>
      <w:r w:rsidRPr="00DD3E54">
        <w:rPr>
          <w:sz w:val="22"/>
          <w:szCs w:val="22"/>
          <w:lang w:eastAsia="ko-KR"/>
        </w:rPr>
        <w:t>FFS the supported CP length</w:t>
      </w:r>
    </w:p>
    <w:p w14:paraId="1C5DEE82" w14:textId="77777777" w:rsidR="00495998" w:rsidRPr="00DD3E54" w:rsidRDefault="00495998" w:rsidP="00495998">
      <w:pPr>
        <w:numPr>
          <w:ilvl w:val="1"/>
          <w:numId w:val="9"/>
        </w:numPr>
        <w:overflowPunct w:val="0"/>
        <w:autoSpaceDE w:val="0"/>
        <w:autoSpaceDN w:val="0"/>
        <w:spacing w:after="120"/>
        <w:contextualSpacing/>
        <w:jc w:val="both"/>
        <w:textAlignment w:val="baseline"/>
        <w:rPr>
          <w:sz w:val="22"/>
          <w:szCs w:val="22"/>
        </w:rPr>
      </w:pPr>
      <w:r w:rsidRPr="00DD3E54">
        <w:rPr>
          <w:sz w:val="22"/>
          <w:szCs w:val="22"/>
          <w:lang w:eastAsia="ko-KR"/>
        </w:rPr>
        <w:t>Baseline is that a UE is not required to receive sidelink transmissions using different SCSs simultaneously in a given carrier.</w:t>
      </w:r>
    </w:p>
    <w:p w14:paraId="5A93B7E2" w14:textId="77777777" w:rsidR="00495998" w:rsidRPr="00DD3E54" w:rsidRDefault="00495998" w:rsidP="00495998">
      <w:pPr>
        <w:numPr>
          <w:ilvl w:val="2"/>
          <w:numId w:val="9"/>
        </w:numPr>
        <w:overflowPunct w:val="0"/>
        <w:autoSpaceDE w:val="0"/>
        <w:autoSpaceDN w:val="0"/>
        <w:spacing w:after="120"/>
        <w:contextualSpacing/>
        <w:jc w:val="both"/>
        <w:textAlignment w:val="baseline"/>
        <w:rPr>
          <w:sz w:val="22"/>
          <w:szCs w:val="22"/>
        </w:rPr>
      </w:pPr>
      <w:r w:rsidRPr="00DD3E54">
        <w:rPr>
          <w:sz w:val="22"/>
          <w:szCs w:val="22"/>
          <w:lang w:eastAsia="ko-KR"/>
        </w:rPr>
        <w:t>FFS if this applies to sidelink synchronization signals/channels</w:t>
      </w:r>
    </w:p>
    <w:p w14:paraId="70023DF4" w14:textId="77777777" w:rsidR="00495998" w:rsidRPr="00DD3E54" w:rsidRDefault="00495998" w:rsidP="00495998">
      <w:pPr>
        <w:numPr>
          <w:ilvl w:val="1"/>
          <w:numId w:val="9"/>
        </w:numPr>
        <w:overflowPunct w:val="0"/>
        <w:autoSpaceDE w:val="0"/>
        <w:autoSpaceDN w:val="0"/>
        <w:spacing w:after="120"/>
        <w:contextualSpacing/>
        <w:jc w:val="both"/>
        <w:textAlignment w:val="baseline"/>
        <w:rPr>
          <w:sz w:val="22"/>
          <w:szCs w:val="22"/>
        </w:rPr>
      </w:pPr>
      <w:r w:rsidRPr="00DD3E54">
        <w:rPr>
          <w:sz w:val="22"/>
          <w:szCs w:val="22"/>
          <w:lang w:eastAsia="ko-KR"/>
        </w:rPr>
        <w:t>Baseline is that a UE is not required to transmit sidelink transmissions using different SCSs simultaneously in a given carrier.</w:t>
      </w:r>
    </w:p>
    <w:p w14:paraId="210FA637" w14:textId="77777777" w:rsidR="00495998" w:rsidRPr="00DD3E54" w:rsidRDefault="00495998" w:rsidP="00495998">
      <w:pPr>
        <w:numPr>
          <w:ilvl w:val="2"/>
          <w:numId w:val="9"/>
        </w:numPr>
        <w:overflowPunct w:val="0"/>
        <w:autoSpaceDE w:val="0"/>
        <w:autoSpaceDN w:val="0"/>
        <w:spacing w:after="120"/>
        <w:contextualSpacing/>
        <w:jc w:val="both"/>
        <w:textAlignment w:val="baseline"/>
        <w:rPr>
          <w:sz w:val="22"/>
          <w:szCs w:val="22"/>
        </w:rPr>
      </w:pPr>
      <w:r w:rsidRPr="00DD3E54">
        <w:rPr>
          <w:sz w:val="22"/>
          <w:szCs w:val="22"/>
          <w:lang w:eastAsia="ko-KR"/>
        </w:rPr>
        <w:t>FFS if this applies to sidelink synchronization signals/channels</w:t>
      </w:r>
    </w:p>
    <w:p w14:paraId="70684719" w14:textId="77777777" w:rsidR="00495998" w:rsidRPr="00DD3E54" w:rsidRDefault="00495998" w:rsidP="00495998">
      <w:pPr>
        <w:rPr>
          <w:sz w:val="22"/>
          <w:szCs w:val="22"/>
          <w:lang w:eastAsia="x-none"/>
        </w:rPr>
      </w:pPr>
    </w:p>
    <w:p w14:paraId="6B7C6FFB" w14:textId="4E195387" w:rsidR="00495998" w:rsidRPr="00DD3E54" w:rsidRDefault="00495998" w:rsidP="00495998">
      <w:pPr>
        <w:rPr>
          <w:sz w:val="22"/>
          <w:szCs w:val="22"/>
        </w:rPr>
      </w:pPr>
      <w:r w:rsidRPr="00DD3E54">
        <w:rPr>
          <w:sz w:val="22"/>
          <w:szCs w:val="22"/>
        </w:rPr>
        <w:t>Continue discussion on the wavefo</w:t>
      </w:r>
      <w:r w:rsidR="00FD21DA">
        <w:rPr>
          <w:sz w:val="22"/>
          <w:szCs w:val="22"/>
        </w:rPr>
        <w:t>r</w:t>
      </w:r>
      <w:r w:rsidRPr="00DD3E54">
        <w:rPr>
          <w:sz w:val="22"/>
          <w:szCs w:val="22"/>
        </w:rPr>
        <w:t>m till next meeting – companies are encouraged to perform more analysis/evaluations.</w:t>
      </w:r>
    </w:p>
    <w:p w14:paraId="1FE0F196" w14:textId="77777777" w:rsidR="00495998" w:rsidRPr="00DD3E54" w:rsidRDefault="00495998" w:rsidP="00495998">
      <w:pPr>
        <w:rPr>
          <w:sz w:val="22"/>
          <w:szCs w:val="22"/>
        </w:rPr>
      </w:pPr>
    </w:p>
    <w:p w14:paraId="13A0D5A5" w14:textId="77777777" w:rsidR="00495998" w:rsidRPr="00DD3E54" w:rsidRDefault="00495998" w:rsidP="00495998">
      <w:pPr>
        <w:rPr>
          <w:sz w:val="22"/>
          <w:szCs w:val="22"/>
          <w:highlight w:val="green"/>
          <w:lang w:eastAsia="x-none"/>
        </w:rPr>
      </w:pPr>
      <w:r w:rsidRPr="00DD3E54">
        <w:rPr>
          <w:sz w:val="22"/>
          <w:szCs w:val="22"/>
          <w:highlight w:val="green"/>
          <w:lang w:eastAsia="x-none"/>
        </w:rPr>
        <w:t>Agreements:</w:t>
      </w:r>
    </w:p>
    <w:p w14:paraId="1C30DFBA" w14:textId="77777777" w:rsidR="00495998" w:rsidRPr="00DD3E54" w:rsidRDefault="00495998" w:rsidP="00495998">
      <w:pPr>
        <w:rPr>
          <w:sz w:val="22"/>
          <w:szCs w:val="22"/>
          <w:lang w:eastAsia="ko-KR"/>
        </w:rPr>
      </w:pPr>
      <w:r w:rsidRPr="00DD3E54">
        <w:rPr>
          <w:sz w:val="22"/>
          <w:szCs w:val="22"/>
          <w:lang w:eastAsia="ko-KR"/>
        </w:rPr>
        <w:t>For PSCCH and associated PSSCH multiplexing</w:t>
      </w:r>
    </w:p>
    <w:p w14:paraId="1A03B2AC" w14:textId="77777777" w:rsidR="00495998" w:rsidRPr="00DD3E54" w:rsidRDefault="00495998" w:rsidP="00495998">
      <w:pPr>
        <w:numPr>
          <w:ilvl w:val="0"/>
          <w:numId w:val="10"/>
        </w:numPr>
        <w:spacing w:before="120" w:after="60"/>
        <w:jc w:val="both"/>
        <w:rPr>
          <w:sz w:val="22"/>
          <w:szCs w:val="22"/>
          <w:lang w:eastAsia="ko-KR"/>
        </w:rPr>
      </w:pPr>
      <w:r w:rsidRPr="00DD3E54">
        <w:rPr>
          <w:sz w:val="22"/>
          <w:szCs w:val="22"/>
          <w:lang w:eastAsia="ko-KR"/>
        </w:rPr>
        <w:t>At least one of Option 1A, 1B, and 3 is supported.</w:t>
      </w:r>
    </w:p>
    <w:p w14:paraId="1AEA2AA2" w14:textId="77777777" w:rsidR="00495998" w:rsidRPr="00DD3E54" w:rsidRDefault="00495998" w:rsidP="00495998">
      <w:pPr>
        <w:numPr>
          <w:ilvl w:val="1"/>
          <w:numId w:val="10"/>
        </w:numPr>
        <w:spacing w:before="120" w:after="60"/>
        <w:jc w:val="both"/>
        <w:rPr>
          <w:sz w:val="22"/>
          <w:szCs w:val="22"/>
          <w:lang w:eastAsia="ko-KR"/>
        </w:rPr>
      </w:pPr>
      <w:r w:rsidRPr="00DD3E54">
        <w:rPr>
          <w:sz w:val="22"/>
          <w:szCs w:val="22"/>
          <w:lang w:eastAsia="ko-KR"/>
        </w:rPr>
        <w:t>FFS whether some options require transient period between PSCCH and PSSCH.</w:t>
      </w:r>
    </w:p>
    <w:p w14:paraId="24723A88" w14:textId="77777777" w:rsidR="00495998" w:rsidRPr="00DD3E54" w:rsidRDefault="00495998" w:rsidP="00495998">
      <w:pPr>
        <w:numPr>
          <w:ilvl w:val="0"/>
          <w:numId w:val="10"/>
        </w:numPr>
        <w:spacing w:before="120" w:after="60"/>
        <w:jc w:val="both"/>
        <w:rPr>
          <w:sz w:val="22"/>
          <w:szCs w:val="22"/>
          <w:lang w:eastAsia="ko-KR"/>
        </w:rPr>
      </w:pPr>
      <w:r w:rsidRPr="00DD3E54">
        <w:rPr>
          <w:sz w:val="22"/>
          <w:szCs w:val="22"/>
          <w:lang w:eastAsia="ko-KR"/>
        </w:rPr>
        <w:t>FFS whether to support Option 2</w:t>
      </w:r>
    </w:p>
    <w:p w14:paraId="4D3C374A" w14:textId="77777777" w:rsidR="00495998" w:rsidRPr="00DD3E54" w:rsidRDefault="00495998" w:rsidP="00495998">
      <w:pPr>
        <w:rPr>
          <w:sz w:val="22"/>
          <w:szCs w:val="22"/>
          <w:lang w:eastAsia="x-none"/>
        </w:rPr>
      </w:pPr>
    </w:p>
    <w:p w14:paraId="259E8460" w14:textId="77777777" w:rsidR="00495998" w:rsidRPr="00DD3E54" w:rsidRDefault="00495998" w:rsidP="00495998">
      <w:pPr>
        <w:rPr>
          <w:sz w:val="22"/>
          <w:szCs w:val="22"/>
          <w:lang w:eastAsia="x-none"/>
        </w:rPr>
      </w:pPr>
      <w:r w:rsidRPr="00DD3E54">
        <w:rPr>
          <w:sz w:val="22"/>
          <w:szCs w:val="22"/>
          <w:highlight w:val="green"/>
          <w:lang w:eastAsia="x-none"/>
        </w:rPr>
        <w:t>Agreements</w:t>
      </w:r>
      <w:r w:rsidRPr="00DD3E54">
        <w:rPr>
          <w:sz w:val="22"/>
          <w:szCs w:val="22"/>
          <w:lang w:eastAsia="x-none"/>
        </w:rPr>
        <w:t>:</w:t>
      </w:r>
    </w:p>
    <w:p w14:paraId="4D492A6B" w14:textId="77777777" w:rsidR="00495998" w:rsidRPr="00DD3E54" w:rsidRDefault="00495998" w:rsidP="00495998">
      <w:pPr>
        <w:pStyle w:val="bullet1"/>
        <w:rPr>
          <w:rFonts w:ascii="Times New Roman" w:hAnsi="Times New Roman"/>
          <w:sz w:val="22"/>
          <w:szCs w:val="22"/>
          <w:lang w:eastAsia="ko-KR"/>
        </w:rPr>
      </w:pPr>
      <w:r w:rsidRPr="00DD3E54">
        <w:rPr>
          <w:rFonts w:ascii="Times New Roman" w:hAnsi="Times New Roman"/>
          <w:sz w:val="22"/>
          <w:szCs w:val="22"/>
          <w:lang w:eastAsia="ko-KR"/>
        </w:rPr>
        <w:t>Sidelink control information (SCI) is defined.</w:t>
      </w:r>
    </w:p>
    <w:p w14:paraId="0AED3905" w14:textId="77777777" w:rsidR="00495998" w:rsidRPr="00DD3E54" w:rsidRDefault="00495998" w:rsidP="00495998">
      <w:pPr>
        <w:pStyle w:val="bullet2"/>
        <w:rPr>
          <w:rFonts w:ascii="Times New Roman" w:hAnsi="Times New Roman"/>
          <w:sz w:val="22"/>
          <w:szCs w:val="22"/>
          <w:lang w:eastAsia="ko-KR"/>
        </w:rPr>
      </w:pPr>
      <w:r w:rsidRPr="00DD3E54">
        <w:rPr>
          <w:rFonts w:ascii="Times New Roman" w:hAnsi="Times New Roman"/>
          <w:sz w:val="22"/>
          <w:szCs w:val="22"/>
          <w:lang w:eastAsia="ko-KR"/>
        </w:rPr>
        <w:t>SCI is transmitted in PSCCH.</w:t>
      </w:r>
    </w:p>
    <w:p w14:paraId="49B128BE" w14:textId="77777777" w:rsidR="00495998" w:rsidRPr="00DD3E54" w:rsidRDefault="00495998" w:rsidP="00495998">
      <w:pPr>
        <w:pStyle w:val="bullet2"/>
        <w:rPr>
          <w:rFonts w:ascii="Times New Roman" w:hAnsi="Times New Roman"/>
          <w:sz w:val="22"/>
          <w:szCs w:val="22"/>
          <w:lang w:eastAsia="ko-KR"/>
        </w:rPr>
      </w:pPr>
      <w:r w:rsidRPr="00DD3E54">
        <w:rPr>
          <w:rFonts w:ascii="Times New Roman" w:hAnsi="Times New Roman"/>
          <w:sz w:val="22"/>
          <w:szCs w:val="22"/>
          <w:lang w:eastAsia="ko-KR"/>
        </w:rPr>
        <w:t>SCI includes at least one SCI format which includes the information necessary to decode the corresponding PSSCH.</w:t>
      </w:r>
    </w:p>
    <w:p w14:paraId="2C74D625" w14:textId="77777777" w:rsidR="00495998" w:rsidRPr="00DD3E54" w:rsidRDefault="00495998" w:rsidP="00495998">
      <w:pPr>
        <w:pStyle w:val="bullet3"/>
        <w:rPr>
          <w:rFonts w:ascii="Times New Roman" w:hAnsi="Times New Roman"/>
          <w:sz w:val="22"/>
          <w:szCs w:val="22"/>
          <w:lang w:eastAsia="ko-KR"/>
        </w:rPr>
      </w:pPr>
      <w:r w:rsidRPr="00DD3E54">
        <w:rPr>
          <w:rFonts w:ascii="Times New Roman" w:hAnsi="Times New Roman"/>
          <w:sz w:val="22"/>
          <w:szCs w:val="22"/>
          <w:lang w:eastAsia="ko-KR"/>
        </w:rPr>
        <w:t>NDI, if defined, is a part of SCI.</w:t>
      </w:r>
    </w:p>
    <w:p w14:paraId="19480A1B" w14:textId="77777777" w:rsidR="00495998" w:rsidRPr="00DD3E54" w:rsidRDefault="00495998" w:rsidP="00495998">
      <w:pPr>
        <w:pStyle w:val="bullet1"/>
        <w:rPr>
          <w:rFonts w:ascii="Times New Roman" w:hAnsi="Times New Roman"/>
          <w:sz w:val="22"/>
          <w:szCs w:val="22"/>
          <w:lang w:eastAsia="ko-KR"/>
        </w:rPr>
      </w:pPr>
      <w:r w:rsidRPr="00DD3E54">
        <w:rPr>
          <w:rFonts w:ascii="Times New Roman" w:hAnsi="Times New Roman"/>
          <w:sz w:val="22"/>
          <w:szCs w:val="22"/>
          <w:lang w:eastAsia="ko-KR"/>
        </w:rPr>
        <w:t>Sidelink feedback control information (SFCI) is defined.</w:t>
      </w:r>
    </w:p>
    <w:p w14:paraId="7BB87E47" w14:textId="77777777" w:rsidR="00495998" w:rsidRPr="00DD3E54" w:rsidRDefault="00495998" w:rsidP="00495998">
      <w:pPr>
        <w:pStyle w:val="bullet2"/>
        <w:rPr>
          <w:rFonts w:ascii="Times New Roman" w:hAnsi="Times New Roman"/>
          <w:sz w:val="22"/>
          <w:szCs w:val="22"/>
          <w:lang w:eastAsia="ko-KR"/>
        </w:rPr>
      </w:pPr>
      <w:r w:rsidRPr="00DD3E54">
        <w:rPr>
          <w:rFonts w:ascii="Times New Roman" w:hAnsi="Times New Roman"/>
          <w:sz w:val="22"/>
          <w:szCs w:val="22"/>
          <w:lang w:eastAsia="ko-KR"/>
        </w:rPr>
        <w:t>SFCI includes at least one SFCI format which includes HARQ-ACK for the corresponding PSSCH.</w:t>
      </w:r>
    </w:p>
    <w:p w14:paraId="6FD16D24" w14:textId="77777777" w:rsidR="00495998" w:rsidRPr="00DD3E54" w:rsidRDefault="00495998" w:rsidP="00495998">
      <w:pPr>
        <w:pStyle w:val="bullet3"/>
        <w:rPr>
          <w:rFonts w:ascii="Times New Roman" w:hAnsi="Times New Roman"/>
          <w:sz w:val="22"/>
          <w:szCs w:val="22"/>
          <w:lang w:eastAsia="ko-KR"/>
        </w:rPr>
      </w:pPr>
      <w:r w:rsidRPr="00DD3E54">
        <w:rPr>
          <w:rFonts w:ascii="Times New Roman" w:hAnsi="Times New Roman"/>
          <w:sz w:val="22"/>
          <w:szCs w:val="22"/>
          <w:lang w:eastAsia="ko-KR"/>
        </w:rPr>
        <w:t>FFS whether a solution will use only one of “ACK,” “NACK,” “DTX,” or use a combination of them.</w:t>
      </w:r>
    </w:p>
    <w:p w14:paraId="5054E7F3" w14:textId="77777777" w:rsidR="00495998" w:rsidRPr="00DD3E54" w:rsidRDefault="00495998" w:rsidP="00495998">
      <w:pPr>
        <w:pStyle w:val="bullet2"/>
        <w:rPr>
          <w:rFonts w:ascii="Times New Roman" w:hAnsi="Times New Roman"/>
          <w:sz w:val="22"/>
          <w:szCs w:val="22"/>
          <w:lang w:eastAsia="ko-KR"/>
        </w:rPr>
      </w:pPr>
      <w:r w:rsidRPr="00DD3E54">
        <w:rPr>
          <w:rFonts w:ascii="Times New Roman" w:hAnsi="Times New Roman"/>
          <w:sz w:val="22"/>
          <w:szCs w:val="22"/>
          <w:lang w:eastAsia="ko-KR"/>
        </w:rPr>
        <w:t>FFS how to include other feedback information (if supported) in SFCI.</w:t>
      </w:r>
    </w:p>
    <w:p w14:paraId="64534871" w14:textId="77777777" w:rsidR="00495998" w:rsidRPr="00DD3E54" w:rsidRDefault="00495998" w:rsidP="00495998">
      <w:pPr>
        <w:pStyle w:val="bullet2"/>
        <w:rPr>
          <w:rFonts w:ascii="Times New Roman" w:hAnsi="Times New Roman"/>
          <w:sz w:val="22"/>
          <w:szCs w:val="22"/>
          <w:lang w:eastAsia="ko-KR"/>
        </w:rPr>
      </w:pPr>
      <w:r w:rsidRPr="00DD3E54">
        <w:rPr>
          <w:rFonts w:ascii="Times New Roman" w:hAnsi="Times New Roman"/>
          <w:sz w:val="22"/>
          <w:szCs w:val="22"/>
          <w:lang w:eastAsia="ko-KR"/>
        </w:rPr>
        <w:t>FFS how to convey SFCI on sidelink in PSCCH, and/or PSSCH, and/or a new physical sidelink channel</w:t>
      </w:r>
    </w:p>
    <w:p w14:paraId="6A0EF7DB" w14:textId="77777777" w:rsidR="00495998" w:rsidRPr="00DD3E54" w:rsidRDefault="00495998" w:rsidP="00495998">
      <w:pPr>
        <w:pStyle w:val="bullet1"/>
        <w:rPr>
          <w:rFonts w:ascii="Times New Roman" w:hAnsi="Times New Roman"/>
          <w:sz w:val="22"/>
          <w:szCs w:val="22"/>
          <w:lang w:eastAsia="ko-KR"/>
        </w:rPr>
      </w:pPr>
      <w:r w:rsidRPr="00DD3E54">
        <w:rPr>
          <w:rFonts w:ascii="Times New Roman" w:hAnsi="Times New Roman"/>
          <w:sz w:val="22"/>
          <w:szCs w:val="22"/>
          <w:lang w:eastAsia="ko-KR"/>
        </w:rPr>
        <w:t>FFS in the context of Mode 1:</w:t>
      </w:r>
    </w:p>
    <w:p w14:paraId="5B478079" w14:textId="77777777" w:rsidR="00495998" w:rsidRPr="00DD3E54" w:rsidRDefault="00495998" w:rsidP="00495998">
      <w:pPr>
        <w:pStyle w:val="bullet2"/>
        <w:rPr>
          <w:rFonts w:ascii="Times New Roman" w:hAnsi="Times New Roman"/>
          <w:sz w:val="22"/>
          <w:szCs w:val="22"/>
          <w:lang w:eastAsia="ko-KR"/>
        </w:rPr>
      </w:pPr>
      <w:r w:rsidRPr="00DD3E54">
        <w:rPr>
          <w:rFonts w:ascii="Times New Roman" w:hAnsi="Times New Roman"/>
          <w:sz w:val="22"/>
          <w:szCs w:val="22"/>
          <w:lang w:eastAsia="ko-KR"/>
        </w:rPr>
        <w:t>whether/how to convey information for SCI on downlink</w:t>
      </w:r>
    </w:p>
    <w:p w14:paraId="61187BB8" w14:textId="77777777" w:rsidR="00495998" w:rsidRPr="00DD3E54" w:rsidRDefault="00495998" w:rsidP="00495998">
      <w:pPr>
        <w:pStyle w:val="bullet2"/>
        <w:rPr>
          <w:rFonts w:ascii="Times New Roman" w:hAnsi="Times New Roman"/>
          <w:sz w:val="22"/>
          <w:szCs w:val="22"/>
          <w:lang w:eastAsia="ko-KR"/>
        </w:rPr>
      </w:pPr>
      <w:r w:rsidRPr="00DD3E54">
        <w:rPr>
          <w:rFonts w:ascii="Times New Roman" w:hAnsi="Times New Roman"/>
          <w:sz w:val="22"/>
          <w:szCs w:val="22"/>
          <w:lang w:eastAsia="ko-KR"/>
        </w:rPr>
        <w:t>whether/how to convey information of SFCI on uplink</w:t>
      </w:r>
    </w:p>
    <w:p w14:paraId="034F32EA" w14:textId="77777777" w:rsidR="00495998" w:rsidRPr="00DD3E54" w:rsidRDefault="00495998" w:rsidP="00495998">
      <w:pPr>
        <w:rPr>
          <w:sz w:val="22"/>
          <w:szCs w:val="22"/>
          <w:lang w:eastAsia="x-none"/>
        </w:rPr>
      </w:pPr>
      <w:bookmarkStart w:id="0" w:name="_GoBack"/>
      <w:bookmarkEnd w:id="0"/>
    </w:p>
    <w:p w14:paraId="1060F229" w14:textId="77777777" w:rsidR="00495998" w:rsidRPr="00DD3E54" w:rsidRDefault="00495998" w:rsidP="00495998">
      <w:pPr>
        <w:rPr>
          <w:sz w:val="22"/>
          <w:szCs w:val="22"/>
          <w:lang w:eastAsia="x-none"/>
        </w:rPr>
      </w:pPr>
      <w:r w:rsidRPr="00DD3E54">
        <w:rPr>
          <w:sz w:val="22"/>
          <w:szCs w:val="22"/>
          <w:highlight w:val="green"/>
          <w:lang w:eastAsia="x-none"/>
        </w:rPr>
        <w:lastRenderedPageBreak/>
        <w:t>Agreements</w:t>
      </w:r>
      <w:r w:rsidRPr="00DD3E54">
        <w:rPr>
          <w:sz w:val="22"/>
          <w:szCs w:val="22"/>
          <w:lang w:eastAsia="x-none"/>
        </w:rPr>
        <w:t>:</w:t>
      </w:r>
    </w:p>
    <w:p w14:paraId="7236B662" w14:textId="77777777" w:rsidR="00495998" w:rsidRPr="00DD3E54" w:rsidRDefault="00495998" w:rsidP="00495998">
      <w:pPr>
        <w:pStyle w:val="bullet1"/>
        <w:rPr>
          <w:rFonts w:ascii="Times New Roman" w:hAnsi="Times New Roman"/>
          <w:sz w:val="22"/>
          <w:szCs w:val="22"/>
        </w:rPr>
      </w:pPr>
      <w:r w:rsidRPr="00DD3E54">
        <w:rPr>
          <w:rFonts w:ascii="Times New Roman" w:hAnsi="Times New Roman"/>
          <w:sz w:val="22"/>
          <w:szCs w:val="22"/>
        </w:rPr>
        <w:t xml:space="preserve">At least resource pool is </w:t>
      </w:r>
      <w:r w:rsidRPr="00DD3E54">
        <w:rPr>
          <w:rFonts w:ascii="Times New Roman" w:hAnsi="Times New Roman"/>
          <w:sz w:val="22"/>
          <w:szCs w:val="22"/>
          <w:lang w:eastAsia="ko-KR"/>
        </w:rPr>
        <w:t>supported</w:t>
      </w:r>
      <w:r w:rsidRPr="00DD3E54">
        <w:rPr>
          <w:rFonts w:ascii="Times New Roman" w:hAnsi="Times New Roman"/>
          <w:sz w:val="22"/>
          <w:szCs w:val="22"/>
        </w:rPr>
        <w:t xml:space="preserve"> for NR sidelink</w:t>
      </w:r>
    </w:p>
    <w:p w14:paraId="37FFB3E1" w14:textId="77777777" w:rsidR="00495998" w:rsidRPr="00DD3E54" w:rsidRDefault="00495998" w:rsidP="00495998">
      <w:pPr>
        <w:pStyle w:val="bullet2"/>
        <w:rPr>
          <w:rFonts w:ascii="Times New Roman" w:hAnsi="Times New Roman"/>
          <w:sz w:val="22"/>
          <w:szCs w:val="22"/>
        </w:rPr>
      </w:pPr>
      <w:r w:rsidRPr="00DD3E54">
        <w:rPr>
          <w:rFonts w:ascii="Times New Roman" w:hAnsi="Times New Roman"/>
          <w:sz w:val="22"/>
          <w:szCs w:val="22"/>
          <w:lang w:eastAsia="ko-KR"/>
        </w:rPr>
        <w:t>Resource pool is a set of time and frequency resources that can be used for sidelink transmission and/or reception.</w:t>
      </w:r>
    </w:p>
    <w:p w14:paraId="67A49654" w14:textId="77777777" w:rsidR="00495998" w:rsidRPr="00DD3E54" w:rsidRDefault="00495998" w:rsidP="00495998">
      <w:pPr>
        <w:pStyle w:val="bullet3"/>
        <w:rPr>
          <w:rFonts w:ascii="Times New Roman" w:hAnsi="Times New Roman"/>
          <w:sz w:val="22"/>
          <w:szCs w:val="22"/>
        </w:rPr>
      </w:pPr>
      <w:r w:rsidRPr="00DD3E54">
        <w:rPr>
          <w:rFonts w:ascii="Times New Roman" w:hAnsi="Times New Roman"/>
          <w:sz w:val="22"/>
          <w:szCs w:val="22"/>
          <w:lang w:eastAsia="ko-KR"/>
        </w:rPr>
        <w:t>FFS whether a resource pool consists of contiguous resources in time and/or frequency.</w:t>
      </w:r>
    </w:p>
    <w:p w14:paraId="3027FB52" w14:textId="77777777" w:rsidR="00495998" w:rsidRPr="00DD3E54" w:rsidRDefault="00495998" w:rsidP="00495998">
      <w:pPr>
        <w:pStyle w:val="bullet3"/>
        <w:rPr>
          <w:rFonts w:ascii="Times New Roman" w:hAnsi="Times New Roman"/>
          <w:sz w:val="22"/>
          <w:szCs w:val="22"/>
        </w:rPr>
      </w:pPr>
      <w:r w:rsidRPr="00DD3E54">
        <w:rPr>
          <w:rFonts w:ascii="Times New Roman" w:hAnsi="Times New Roman"/>
          <w:sz w:val="22"/>
          <w:szCs w:val="22"/>
          <w:lang w:eastAsia="ko-KR"/>
        </w:rPr>
        <w:t>A resource pool is inside the RF bandwidth of the UE.</w:t>
      </w:r>
    </w:p>
    <w:p w14:paraId="08E1345C" w14:textId="77777777" w:rsidR="00495998" w:rsidRPr="00DD3E54" w:rsidRDefault="00495998" w:rsidP="00495998">
      <w:pPr>
        <w:pStyle w:val="bullet3"/>
        <w:rPr>
          <w:rFonts w:ascii="Times New Roman" w:hAnsi="Times New Roman"/>
          <w:sz w:val="22"/>
          <w:szCs w:val="22"/>
        </w:rPr>
      </w:pPr>
      <w:r w:rsidRPr="00DD3E54">
        <w:rPr>
          <w:rFonts w:ascii="Times New Roman" w:hAnsi="Times New Roman"/>
          <w:sz w:val="22"/>
          <w:szCs w:val="22"/>
          <w:lang w:eastAsia="ko-KR"/>
        </w:rPr>
        <w:t>FFS how gNB and other UEs know the RF bandwidth of the UE</w:t>
      </w:r>
    </w:p>
    <w:p w14:paraId="42A27068" w14:textId="77777777" w:rsidR="00495998" w:rsidRPr="00DD3E54" w:rsidRDefault="00495998" w:rsidP="00495998">
      <w:pPr>
        <w:pStyle w:val="bullet2"/>
        <w:rPr>
          <w:rFonts w:ascii="Times New Roman" w:hAnsi="Times New Roman"/>
          <w:sz w:val="22"/>
          <w:szCs w:val="22"/>
        </w:rPr>
      </w:pPr>
      <w:r w:rsidRPr="00DD3E54">
        <w:rPr>
          <w:rFonts w:ascii="Times New Roman" w:hAnsi="Times New Roman"/>
          <w:sz w:val="22"/>
          <w:szCs w:val="22"/>
        </w:rPr>
        <w:t>FFS if BWP (if defined) can be used to in defining at least part of resource pool</w:t>
      </w:r>
    </w:p>
    <w:p w14:paraId="6CBF2E74" w14:textId="77777777" w:rsidR="00495998" w:rsidRPr="00DD3E54" w:rsidRDefault="00495998" w:rsidP="00495998">
      <w:pPr>
        <w:pStyle w:val="bullet2"/>
        <w:rPr>
          <w:rFonts w:ascii="Times New Roman" w:hAnsi="Times New Roman"/>
          <w:sz w:val="22"/>
          <w:szCs w:val="22"/>
        </w:rPr>
      </w:pPr>
      <w:r w:rsidRPr="00DD3E54">
        <w:rPr>
          <w:rFonts w:ascii="Times New Roman" w:hAnsi="Times New Roman"/>
          <w:sz w:val="22"/>
          <w:szCs w:val="22"/>
          <w:lang w:eastAsia="ko-KR"/>
        </w:rPr>
        <w:t>FFS if the numerology of a resource pool is indicated as a part of (pre-)configuration for resource pool, carrier, band, or BWP (if defined)</w:t>
      </w:r>
    </w:p>
    <w:p w14:paraId="7D660ED3" w14:textId="77777777" w:rsidR="00495998" w:rsidRPr="00DD3E54" w:rsidRDefault="00495998" w:rsidP="00495998">
      <w:pPr>
        <w:pStyle w:val="bullet2"/>
        <w:rPr>
          <w:rFonts w:ascii="Times New Roman" w:hAnsi="Times New Roman"/>
          <w:sz w:val="22"/>
          <w:szCs w:val="22"/>
        </w:rPr>
      </w:pPr>
      <w:r w:rsidRPr="00DD3E54">
        <w:rPr>
          <w:rFonts w:ascii="Times New Roman" w:hAnsi="Times New Roman"/>
          <w:sz w:val="22"/>
          <w:szCs w:val="22"/>
          <w:lang w:eastAsia="ko-KR"/>
        </w:rPr>
        <w:t>UE assumes a single numerology in using a resource pool.</w:t>
      </w:r>
    </w:p>
    <w:p w14:paraId="4F53AA10" w14:textId="77777777" w:rsidR="00495998" w:rsidRPr="00DD3E54" w:rsidRDefault="00495998" w:rsidP="00495998">
      <w:pPr>
        <w:pStyle w:val="bullet2"/>
        <w:rPr>
          <w:rFonts w:ascii="Times New Roman" w:hAnsi="Times New Roman"/>
          <w:sz w:val="22"/>
          <w:szCs w:val="22"/>
        </w:rPr>
      </w:pPr>
      <w:r w:rsidRPr="00DD3E54">
        <w:rPr>
          <w:rFonts w:ascii="Times New Roman" w:hAnsi="Times New Roman"/>
          <w:sz w:val="22"/>
          <w:szCs w:val="22"/>
          <w:lang w:eastAsia="ko-KR"/>
        </w:rPr>
        <w:t>M</w:t>
      </w:r>
      <w:r w:rsidRPr="00DD3E54">
        <w:rPr>
          <w:rFonts w:ascii="Times New Roman" w:hAnsi="Times New Roman"/>
          <w:sz w:val="22"/>
          <w:szCs w:val="22"/>
        </w:rPr>
        <w:t xml:space="preserve">ultiple resource pools </w:t>
      </w:r>
      <w:r w:rsidRPr="00DD3E54">
        <w:rPr>
          <w:rFonts w:ascii="Times New Roman" w:hAnsi="Times New Roman"/>
          <w:sz w:val="22"/>
          <w:szCs w:val="22"/>
          <w:lang w:eastAsia="ko-KR"/>
        </w:rPr>
        <w:t>can</w:t>
      </w:r>
      <w:r w:rsidRPr="00DD3E54">
        <w:rPr>
          <w:rFonts w:ascii="Times New Roman" w:hAnsi="Times New Roman"/>
          <w:sz w:val="22"/>
          <w:szCs w:val="22"/>
        </w:rPr>
        <w:t xml:space="preserve"> be configured to a single UE</w:t>
      </w:r>
      <w:r w:rsidRPr="00DD3E54">
        <w:rPr>
          <w:rFonts w:ascii="Times New Roman" w:hAnsi="Times New Roman"/>
          <w:sz w:val="22"/>
          <w:szCs w:val="22"/>
          <w:lang w:eastAsia="ko-KR"/>
        </w:rPr>
        <w:t xml:space="preserve"> in a given carrier.</w:t>
      </w:r>
    </w:p>
    <w:p w14:paraId="57B019ED" w14:textId="77777777" w:rsidR="00495998" w:rsidRPr="00DD3E54" w:rsidRDefault="00495998" w:rsidP="00495998">
      <w:pPr>
        <w:pStyle w:val="bullet3"/>
        <w:rPr>
          <w:sz w:val="22"/>
          <w:szCs w:val="22"/>
        </w:rPr>
      </w:pPr>
      <w:r w:rsidRPr="00DD3E54">
        <w:rPr>
          <w:rFonts w:hint="eastAsia"/>
          <w:sz w:val="22"/>
          <w:szCs w:val="22"/>
          <w:lang w:eastAsia="ko-KR"/>
        </w:rPr>
        <w:t>FFS how to use multiple resource pools when (pre-</w:t>
      </w:r>
      <w:proofErr w:type="gramStart"/>
      <w:r w:rsidRPr="00DD3E54">
        <w:rPr>
          <w:rFonts w:hint="eastAsia"/>
          <w:sz w:val="22"/>
          <w:szCs w:val="22"/>
          <w:lang w:eastAsia="ko-KR"/>
        </w:rPr>
        <w:t>)configured</w:t>
      </w:r>
      <w:proofErr w:type="gramEnd"/>
      <w:r w:rsidRPr="00DD3E54">
        <w:rPr>
          <w:rFonts w:hint="eastAsia"/>
          <w:sz w:val="22"/>
          <w:szCs w:val="22"/>
          <w:lang w:eastAsia="ko-KR"/>
        </w:rPr>
        <w:t>.</w:t>
      </w:r>
    </w:p>
    <w:p w14:paraId="19DF8B71" w14:textId="77777777" w:rsidR="00495998" w:rsidRPr="00DD3E54" w:rsidRDefault="00495998" w:rsidP="00495998">
      <w:pPr>
        <w:pStyle w:val="bullet1"/>
        <w:rPr>
          <w:sz w:val="22"/>
          <w:szCs w:val="22"/>
        </w:rPr>
      </w:pPr>
      <w:r w:rsidRPr="00DD3E54">
        <w:rPr>
          <w:sz w:val="22"/>
          <w:szCs w:val="22"/>
        </w:rPr>
        <w:t>FFS BWP is supported for NR sidelink</w:t>
      </w:r>
    </w:p>
    <w:p w14:paraId="2FF52892" w14:textId="77777777" w:rsidR="00495998" w:rsidRPr="00DD3E54" w:rsidRDefault="00495998" w:rsidP="00495998">
      <w:pPr>
        <w:pStyle w:val="bullet2"/>
        <w:rPr>
          <w:sz w:val="22"/>
          <w:szCs w:val="22"/>
        </w:rPr>
      </w:pPr>
      <w:r w:rsidRPr="00896634">
        <w:rPr>
          <w:rFonts w:hint="eastAsia"/>
          <w:sz w:val="22"/>
          <w:szCs w:val="22"/>
          <w:lang w:val="en-US" w:eastAsia="ko-KR"/>
        </w:rPr>
        <w:t>FFS whether RAN1 can assume that at most one BWP is configured in a carrier from the system perspective.</w:t>
      </w:r>
    </w:p>
    <w:p w14:paraId="6B223D8E" w14:textId="77777777" w:rsidR="00495998" w:rsidRPr="00DD3E54" w:rsidRDefault="00495998" w:rsidP="00495998">
      <w:pPr>
        <w:pStyle w:val="bullet2"/>
        <w:rPr>
          <w:sz w:val="22"/>
          <w:szCs w:val="22"/>
        </w:rPr>
      </w:pPr>
      <w:r w:rsidRPr="00DD3E54">
        <w:rPr>
          <w:rFonts w:hint="eastAsia"/>
          <w:sz w:val="22"/>
          <w:szCs w:val="22"/>
          <w:lang w:eastAsia="ko-KR"/>
        </w:rPr>
        <w:t xml:space="preserve">It is RAN1 understanding that, in some cases, the entire system </w:t>
      </w:r>
      <w:r w:rsidRPr="00DD3E54">
        <w:rPr>
          <w:sz w:val="22"/>
          <w:szCs w:val="22"/>
          <w:lang w:eastAsia="ko-KR"/>
        </w:rPr>
        <w:t>bandwidth</w:t>
      </w:r>
      <w:r w:rsidRPr="00DD3E54">
        <w:rPr>
          <w:rFonts w:hint="eastAsia"/>
          <w:sz w:val="22"/>
          <w:szCs w:val="22"/>
          <w:lang w:eastAsia="ko-KR"/>
        </w:rPr>
        <w:t xml:space="preserve"> is covered by a single BWP.</w:t>
      </w:r>
    </w:p>
    <w:p w14:paraId="1BA06C98" w14:textId="77777777" w:rsidR="00495998" w:rsidRPr="00DD3E54" w:rsidRDefault="00495998" w:rsidP="00495998">
      <w:pPr>
        <w:pStyle w:val="bullet2"/>
        <w:rPr>
          <w:sz w:val="22"/>
          <w:szCs w:val="22"/>
        </w:rPr>
      </w:pPr>
      <w:r w:rsidRPr="00DD3E54">
        <w:rPr>
          <w:sz w:val="22"/>
          <w:szCs w:val="22"/>
        </w:rPr>
        <w:t>FFS the details of BWP configurations, including the possibility of restricting the number of BWPs</w:t>
      </w:r>
    </w:p>
    <w:p w14:paraId="7472CE5E" w14:textId="77777777" w:rsidR="00495998" w:rsidRPr="00DD3E54" w:rsidRDefault="00495998" w:rsidP="00495998">
      <w:pPr>
        <w:pStyle w:val="bullet2"/>
        <w:rPr>
          <w:sz w:val="22"/>
          <w:szCs w:val="22"/>
        </w:rPr>
      </w:pPr>
      <w:r w:rsidRPr="00DD3E54">
        <w:rPr>
          <w:rFonts w:hint="eastAsia"/>
          <w:sz w:val="22"/>
          <w:szCs w:val="22"/>
          <w:lang w:eastAsia="ko-KR"/>
        </w:rPr>
        <w:t>FFS whether BWP for TX and RX is separated or a common BWP applied to both TX and RX</w:t>
      </w:r>
    </w:p>
    <w:p w14:paraId="7363F377" w14:textId="77777777" w:rsidR="00495998" w:rsidRPr="00DD3E54" w:rsidRDefault="00495998" w:rsidP="00495998">
      <w:pPr>
        <w:pStyle w:val="bullet2"/>
        <w:rPr>
          <w:sz w:val="22"/>
          <w:szCs w:val="22"/>
        </w:rPr>
      </w:pPr>
      <w:r w:rsidRPr="00DD3E54">
        <w:rPr>
          <w:sz w:val="22"/>
          <w:szCs w:val="22"/>
        </w:rPr>
        <w:t xml:space="preserve">There is at most one activated sidelink BWP for a UE </w:t>
      </w:r>
      <w:r w:rsidRPr="00DD3E54">
        <w:rPr>
          <w:rFonts w:hint="eastAsia"/>
          <w:sz w:val="22"/>
          <w:szCs w:val="22"/>
          <w:lang w:eastAsia="ko-KR"/>
        </w:rPr>
        <w:t xml:space="preserve">in a given carrier </w:t>
      </w:r>
      <w:r w:rsidRPr="00DD3E54">
        <w:rPr>
          <w:sz w:val="22"/>
          <w:szCs w:val="22"/>
        </w:rPr>
        <w:t>as in the Uu case</w:t>
      </w:r>
    </w:p>
    <w:p w14:paraId="5C801E3B" w14:textId="77777777" w:rsidR="00495998" w:rsidRPr="00DD3E54" w:rsidRDefault="00495998" w:rsidP="00495998">
      <w:pPr>
        <w:pStyle w:val="bullet3"/>
        <w:rPr>
          <w:sz w:val="22"/>
          <w:szCs w:val="22"/>
        </w:rPr>
      </w:pPr>
      <w:r w:rsidRPr="00DD3E54">
        <w:rPr>
          <w:rFonts w:hint="eastAsia"/>
          <w:sz w:val="22"/>
          <w:szCs w:val="22"/>
          <w:lang w:eastAsia="ko-KR"/>
        </w:rPr>
        <w:t xml:space="preserve">Further study the </w:t>
      </w:r>
      <w:r w:rsidRPr="00DD3E54">
        <w:rPr>
          <w:sz w:val="22"/>
          <w:szCs w:val="22"/>
          <w:lang w:eastAsia="ko-KR"/>
        </w:rPr>
        <w:t>feasibility</w:t>
      </w:r>
      <w:r w:rsidRPr="00DD3E54">
        <w:rPr>
          <w:rFonts w:hint="eastAsia"/>
          <w:sz w:val="22"/>
          <w:szCs w:val="22"/>
          <w:lang w:eastAsia="ko-KR"/>
        </w:rPr>
        <w:t>, benefit, and impact of sidelink BWP switching</w:t>
      </w:r>
    </w:p>
    <w:p w14:paraId="3A149CF8" w14:textId="77777777" w:rsidR="00495998" w:rsidRPr="00DD3E54" w:rsidRDefault="00495998" w:rsidP="00495998">
      <w:pPr>
        <w:pStyle w:val="bullet2"/>
        <w:rPr>
          <w:sz w:val="22"/>
          <w:szCs w:val="22"/>
        </w:rPr>
      </w:pPr>
      <w:r w:rsidRPr="00DD3E54">
        <w:rPr>
          <w:sz w:val="22"/>
          <w:szCs w:val="22"/>
        </w:rPr>
        <w:t>Aim to conclude in RAN1#95</w:t>
      </w:r>
    </w:p>
    <w:p w14:paraId="43D6A046" w14:textId="77777777" w:rsidR="00495998" w:rsidRPr="00DD3E54" w:rsidRDefault="00495998" w:rsidP="00495998">
      <w:pPr>
        <w:pStyle w:val="bullet3"/>
        <w:rPr>
          <w:sz w:val="22"/>
          <w:szCs w:val="22"/>
        </w:rPr>
      </w:pPr>
      <w:r w:rsidRPr="00DD3E54">
        <w:rPr>
          <w:sz w:val="22"/>
          <w:szCs w:val="22"/>
        </w:rPr>
        <w:t>Companies are encouraged to provide more analysis, including checking current Rel-15 specification regarding BWP related text</w:t>
      </w:r>
    </w:p>
    <w:p w14:paraId="02A4C41A" w14:textId="77777777" w:rsidR="005418B2" w:rsidRPr="00DD3E54" w:rsidRDefault="005418B2" w:rsidP="00012620">
      <w:pPr>
        <w:jc w:val="both"/>
        <w:rPr>
          <w:sz w:val="22"/>
          <w:szCs w:val="22"/>
          <w:lang w:val="en-GB"/>
        </w:rPr>
      </w:pPr>
    </w:p>
    <w:p w14:paraId="29E065B8" w14:textId="5315E173" w:rsidR="005418B2" w:rsidRPr="006055AB" w:rsidRDefault="00A04223" w:rsidP="00012620">
      <w:pPr>
        <w:jc w:val="both"/>
        <w:rPr>
          <w:sz w:val="22"/>
          <w:szCs w:val="22"/>
        </w:rPr>
      </w:pPr>
      <w:r w:rsidRPr="006055AB">
        <w:rPr>
          <w:sz w:val="22"/>
          <w:szCs w:val="22"/>
        </w:rPr>
        <w:t xml:space="preserve">In </w:t>
      </w:r>
      <w:r w:rsidR="00D9108F">
        <w:rPr>
          <w:sz w:val="22"/>
          <w:szCs w:val="22"/>
        </w:rPr>
        <w:t>this contribution</w:t>
      </w:r>
      <w:r w:rsidRPr="006055AB">
        <w:rPr>
          <w:sz w:val="22"/>
          <w:szCs w:val="22"/>
        </w:rPr>
        <w:t xml:space="preserve">, we will discuss </w:t>
      </w:r>
      <w:r w:rsidR="008A7420">
        <w:rPr>
          <w:sz w:val="22"/>
          <w:szCs w:val="22"/>
        </w:rPr>
        <w:t xml:space="preserve">and give our views on </w:t>
      </w:r>
      <w:r w:rsidR="008F466B">
        <w:rPr>
          <w:sz w:val="22"/>
          <w:szCs w:val="22"/>
        </w:rPr>
        <w:t>CP length</w:t>
      </w:r>
      <w:r w:rsidR="000260E3">
        <w:rPr>
          <w:sz w:val="22"/>
          <w:szCs w:val="22"/>
        </w:rPr>
        <w:t xml:space="preserve">, </w:t>
      </w:r>
      <w:r w:rsidR="008A7420">
        <w:rPr>
          <w:sz w:val="22"/>
          <w:szCs w:val="22"/>
        </w:rPr>
        <w:t>waveform,</w:t>
      </w:r>
      <w:r w:rsidR="000D73BA">
        <w:rPr>
          <w:sz w:val="22"/>
          <w:szCs w:val="22"/>
        </w:rPr>
        <w:t xml:space="preserve"> </w:t>
      </w:r>
      <w:proofErr w:type="gramStart"/>
      <w:r w:rsidR="000D73BA">
        <w:rPr>
          <w:sz w:val="22"/>
          <w:szCs w:val="22"/>
        </w:rPr>
        <w:t>control</w:t>
      </w:r>
      <w:proofErr w:type="gramEnd"/>
      <w:r w:rsidR="000D73BA">
        <w:rPr>
          <w:sz w:val="22"/>
          <w:szCs w:val="22"/>
        </w:rPr>
        <w:t xml:space="preserve"> and data multiplexing,</w:t>
      </w:r>
      <w:r w:rsidR="008A7420">
        <w:rPr>
          <w:sz w:val="22"/>
          <w:szCs w:val="22"/>
        </w:rPr>
        <w:t xml:space="preserve"> </w:t>
      </w:r>
      <w:r w:rsidR="000D73BA">
        <w:rPr>
          <w:sz w:val="22"/>
          <w:szCs w:val="22"/>
        </w:rPr>
        <w:t>AGC</w:t>
      </w:r>
      <w:r w:rsidR="00360686">
        <w:rPr>
          <w:sz w:val="22"/>
          <w:szCs w:val="22"/>
        </w:rPr>
        <w:t xml:space="preserve"> settling, </w:t>
      </w:r>
      <w:r w:rsidR="008A7420">
        <w:rPr>
          <w:sz w:val="22"/>
          <w:szCs w:val="22"/>
        </w:rPr>
        <w:t>and other physical layer structure related issues</w:t>
      </w:r>
      <w:r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10E90F08" w14:textId="24B0D673" w:rsidR="000260E3" w:rsidRPr="007C72D9" w:rsidRDefault="002D66C7" w:rsidP="000260E3">
      <w:pPr>
        <w:spacing w:before="240" w:after="120"/>
        <w:jc w:val="both"/>
        <w:rPr>
          <w:b/>
          <w:sz w:val="22"/>
          <w:szCs w:val="22"/>
          <w:u w:val="single"/>
        </w:rPr>
      </w:pPr>
      <w:r>
        <w:rPr>
          <w:b/>
          <w:sz w:val="22"/>
          <w:szCs w:val="22"/>
          <w:u w:val="single"/>
        </w:rPr>
        <w:t>CP length</w:t>
      </w:r>
    </w:p>
    <w:p w14:paraId="3C8F00E0" w14:textId="34938025" w:rsidR="00A605BF" w:rsidRDefault="00DB1250" w:rsidP="00DB1250">
      <w:pPr>
        <w:jc w:val="both"/>
        <w:rPr>
          <w:sz w:val="22"/>
          <w:szCs w:val="22"/>
        </w:rPr>
      </w:pPr>
      <w:r w:rsidRPr="00DB1250">
        <w:rPr>
          <w:sz w:val="22"/>
          <w:szCs w:val="22"/>
        </w:rPr>
        <w:t xml:space="preserve">On </w:t>
      </w:r>
      <w:r w:rsidR="00896634" w:rsidRPr="00DB1250">
        <w:rPr>
          <w:sz w:val="22"/>
          <w:szCs w:val="22"/>
        </w:rPr>
        <w:t>sidelink,</w:t>
      </w:r>
      <w:r w:rsidRPr="00DB1250">
        <w:rPr>
          <w:sz w:val="22"/>
          <w:szCs w:val="22"/>
        </w:rPr>
        <w:t xml:space="preserve"> CP is supposed to accommodate</w:t>
      </w:r>
      <w:r>
        <w:rPr>
          <w:sz w:val="22"/>
          <w:szCs w:val="22"/>
        </w:rPr>
        <w:t xml:space="preserve"> both propagation delay </w:t>
      </w:r>
      <w:r w:rsidR="00896634">
        <w:rPr>
          <w:sz w:val="22"/>
          <w:szCs w:val="22"/>
        </w:rPr>
        <w:t xml:space="preserve">and </w:t>
      </w:r>
      <w:r w:rsidR="00896634" w:rsidRPr="00DB1250">
        <w:rPr>
          <w:sz w:val="22"/>
          <w:szCs w:val="22"/>
        </w:rPr>
        <w:t>multi</w:t>
      </w:r>
      <w:r>
        <w:rPr>
          <w:sz w:val="22"/>
          <w:szCs w:val="22"/>
        </w:rPr>
        <w:t xml:space="preserve">-path spread of radio channel. According to the requirement defined in 22.886, NR V2X needs to support more than 1000m coverage, </w:t>
      </w:r>
      <w:r w:rsidR="006D3232">
        <w:rPr>
          <w:sz w:val="22"/>
          <w:szCs w:val="22"/>
        </w:rPr>
        <w:t>if timing at the transmitter and the receiver are fully aligned, e.g. using GNSS as sync source, this can introduce</w:t>
      </w:r>
      <w:r>
        <w:rPr>
          <w:sz w:val="22"/>
          <w:szCs w:val="22"/>
        </w:rPr>
        <w:t xml:space="preserve"> 3.33us delay</w:t>
      </w:r>
      <w:r w:rsidR="006D3232">
        <w:rPr>
          <w:sz w:val="22"/>
          <w:szCs w:val="22"/>
        </w:rPr>
        <w:t xml:space="preserve"> at the receiver</w:t>
      </w:r>
      <w:r>
        <w:rPr>
          <w:sz w:val="22"/>
          <w:szCs w:val="22"/>
        </w:rPr>
        <w:t xml:space="preserve">. </w:t>
      </w:r>
      <w:r w:rsidR="00896634">
        <w:rPr>
          <w:sz w:val="22"/>
          <w:szCs w:val="22"/>
        </w:rPr>
        <w:t xml:space="preserve">In some scenarios, e.g. when base station is used as sync source, the transmission timing of the transmitter and the reception timing of the receiver may not be aligned due to different distances from the based station, as depicted in the figure </w:t>
      </w:r>
      <w:r w:rsidR="00A605BF">
        <w:rPr>
          <w:sz w:val="22"/>
          <w:szCs w:val="22"/>
        </w:rPr>
        <w:t xml:space="preserve">1 </w:t>
      </w:r>
      <w:r w:rsidR="00896634">
        <w:rPr>
          <w:sz w:val="22"/>
          <w:szCs w:val="22"/>
        </w:rPr>
        <w:t xml:space="preserve">below. In this case, </w:t>
      </w:r>
      <w:r w:rsidR="0093091E">
        <w:rPr>
          <w:sz w:val="22"/>
          <w:szCs w:val="22"/>
        </w:rPr>
        <w:t>up to 6.66us round-trip delay</w:t>
      </w:r>
      <w:r w:rsidR="00896634">
        <w:rPr>
          <w:sz w:val="22"/>
          <w:szCs w:val="22"/>
        </w:rPr>
        <w:t xml:space="preserve"> can be introduced.</w:t>
      </w:r>
      <w:r w:rsidR="00A605BF">
        <w:rPr>
          <w:sz w:val="22"/>
          <w:szCs w:val="22"/>
        </w:rPr>
        <w:t xml:space="preserve"> </w:t>
      </w:r>
    </w:p>
    <w:p w14:paraId="0FB9D4F0" w14:textId="77777777" w:rsidR="00A605BF" w:rsidRDefault="00A605BF" w:rsidP="00DB1250">
      <w:pPr>
        <w:jc w:val="both"/>
        <w:rPr>
          <w:sz w:val="22"/>
          <w:szCs w:val="22"/>
        </w:rPr>
      </w:pPr>
    </w:p>
    <w:p w14:paraId="70B5E42A" w14:textId="5D3FCE7F" w:rsidR="00896634" w:rsidRDefault="00D53716" w:rsidP="00D53716">
      <w:pPr>
        <w:jc w:val="center"/>
      </w:pPr>
      <w:r>
        <w:object w:dxaOrig="4951" w:dyaOrig="3581" w14:anchorId="5FDB0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5pt;height:178.95pt" o:ole="">
            <v:imagedata r:id="rId8" o:title=""/>
          </v:shape>
          <o:OLEObject Type="Embed" ProgID="Visio.Drawing.15" ShapeID="_x0000_i1025" DrawAspect="Content" ObjectID="_1602655705" r:id="rId9"/>
        </w:object>
      </w:r>
    </w:p>
    <w:p w14:paraId="4939CBE3" w14:textId="7904B89A" w:rsidR="00D53716" w:rsidRDefault="00D53716" w:rsidP="00D53716">
      <w:pPr>
        <w:spacing w:before="120" w:after="240"/>
        <w:jc w:val="center"/>
        <w:rPr>
          <w:b/>
          <w:sz w:val="22"/>
          <w:szCs w:val="22"/>
        </w:rPr>
      </w:pPr>
      <w:r w:rsidRPr="00D53716">
        <w:rPr>
          <w:b/>
          <w:sz w:val="22"/>
          <w:szCs w:val="22"/>
        </w:rPr>
        <w:t xml:space="preserve">Figure 1 </w:t>
      </w:r>
      <w:r>
        <w:rPr>
          <w:b/>
          <w:sz w:val="22"/>
          <w:szCs w:val="22"/>
        </w:rPr>
        <w:t>round-trip delay can be introduced if transmitter and receiver using base station as sync source</w:t>
      </w:r>
    </w:p>
    <w:p w14:paraId="2BD2C587" w14:textId="3067FC06" w:rsidR="004662AA" w:rsidRPr="004662AA" w:rsidRDefault="004662AA" w:rsidP="004662AA">
      <w:pPr>
        <w:jc w:val="both"/>
        <w:rPr>
          <w:sz w:val="22"/>
          <w:szCs w:val="22"/>
        </w:rPr>
      </w:pPr>
      <w:r>
        <w:rPr>
          <w:sz w:val="22"/>
          <w:szCs w:val="22"/>
        </w:rPr>
        <w:t xml:space="preserve">The normal CP length and extended CP length of different SCS are summarized in Table 1. It can be seen that, </w:t>
      </w:r>
      <w:r w:rsidR="001D4D5A">
        <w:rPr>
          <w:sz w:val="22"/>
          <w:szCs w:val="22"/>
        </w:rPr>
        <w:t xml:space="preserve">the length of </w:t>
      </w:r>
      <w:r>
        <w:rPr>
          <w:sz w:val="22"/>
          <w:szCs w:val="22"/>
        </w:rPr>
        <w:t xml:space="preserve">normal CP </w:t>
      </w:r>
      <w:r w:rsidR="001D4D5A">
        <w:rPr>
          <w:sz w:val="22"/>
          <w:szCs w:val="22"/>
        </w:rPr>
        <w:t xml:space="preserve">for </w:t>
      </w:r>
      <w:proofErr w:type="gramStart"/>
      <w:r w:rsidR="001D4D5A">
        <w:rPr>
          <w:sz w:val="22"/>
          <w:szCs w:val="22"/>
        </w:rPr>
        <w:t>15kHz</w:t>
      </w:r>
      <w:proofErr w:type="gramEnd"/>
      <w:r w:rsidR="001D4D5A">
        <w:rPr>
          <w:sz w:val="22"/>
          <w:szCs w:val="22"/>
        </w:rPr>
        <w:t xml:space="preserve"> SCS and extended CP for 15/30/60 kHz SCS are larger than 3.33us (one-way propagation delay of 1000m), and only the length of extended CP for 15/30 kHz SCS are larger than 6.66us (round-trip delay of 1000m). </w:t>
      </w:r>
      <w:r w:rsidR="00B7732D">
        <w:rPr>
          <w:sz w:val="22"/>
          <w:szCs w:val="22"/>
        </w:rPr>
        <w:t>In view of above, we have following proposal:</w:t>
      </w:r>
    </w:p>
    <w:p w14:paraId="1679F268" w14:textId="4F4BD90E" w:rsidR="00267FE7" w:rsidRPr="0093091E" w:rsidRDefault="00267FE7" w:rsidP="0093091E">
      <w:pPr>
        <w:spacing w:before="120"/>
        <w:jc w:val="center"/>
        <w:rPr>
          <w:b/>
          <w:sz w:val="22"/>
          <w:szCs w:val="22"/>
        </w:rPr>
      </w:pPr>
      <w:r>
        <w:rPr>
          <w:b/>
          <w:sz w:val="22"/>
          <w:szCs w:val="22"/>
        </w:rPr>
        <w:t>Table</w:t>
      </w:r>
      <w:r w:rsidRPr="00D53716">
        <w:rPr>
          <w:b/>
          <w:sz w:val="22"/>
          <w:szCs w:val="22"/>
        </w:rPr>
        <w:t xml:space="preserve"> 1 </w:t>
      </w:r>
      <w:r>
        <w:rPr>
          <w:b/>
          <w:sz w:val="22"/>
          <w:szCs w:val="22"/>
        </w:rPr>
        <w:t>CP length of different SCS</w:t>
      </w:r>
    </w:p>
    <w:tbl>
      <w:tblPr>
        <w:tblStyle w:val="ac"/>
        <w:tblW w:w="0" w:type="auto"/>
        <w:jc w:val="center"/>
        <w:tblLook w:val="04A0" w:firstRow="1" w:lastRow="0" w:firstColumn="1" w:lastColumn="0" w:noHBand="0" w:noVBand="1"/>
      </w:tblPr>
      <w:tblGrid>
        <w:gridCol w:w="704"/>
        <w:gridCol w:w="1559"/>
        <w:gridCol w:w="1840"/>
        <w:gridCol w:w="1840"/>
      </w:tblGrid>
      <w:tr w:rsidR="00267FE7" w:rsidRPr="00A605BF" w14:paraId="2218952D" w14:textId="32C02F00" w:rsidTr="004662AA">
        <w:trPr>
          <w:trHeight w:val="290"/>
          <w:jc w:val="center"/>
        </w:trPr>
        <w:tc>
          <w:tcPr>
            <w:tcW w:w="704" w:type="dxa"/>
            <w:noWrap/>
            <w:hideMark/>
          </w:tcPr>
          <w:p w14:paraId="5F553534" w14:textId="77777777" w:rsidR="00267FE7" w:rsidRPr="00A605BF" w:rsidRDefault="00267FE7" w:rsidP="004662AA">
            <w:pPr>
              <w:rPr>
                <w:b/>
                <w:bCs/>
                <w:i/>
                <w:iCs/>
                <w:sz w:val="22"/>
                <w:szCs w:val="22"/>
              </w:rPr>
            </w:pPr>
            <w:r w:rsidRPr="00A605BF">
              <w:rPr>
                <w:b/>
                <w:bCs/>
                <w:i/>
                <w:iCs/>
                <w:sz w:val="22"/>
                <w:szCs w:val="22"/>
              </w:rPr>
              <w:t>μ</w:t>
            </w:r>
          </w:p>
        </w:tc>
        <w:tc>
          <w:tcPr>
            <w:tcW w:w="1559" w:type="dxa"/>
            <w:noWrap/>
            <w:hideMark/>
          </w:tcPr>
          <w:p w14:paraId="62E6F949" w14:textId="77777777" w:rsidR="00267FE7" w:rsidRPr="00A605BF" w:rsidRDefault="00267FE7" w:rsidP="004662AA">
            <w:pPr>
              <w:rPr>
                <w:b/>
                <w:bCs/>
                <w:sz w:val="22"/>
                <w:szCs w:val="22"/>
              </w:rPr>
            </w:pPr>
            <w:r w:rsidRPr="00A605BF">
              <w:rPr>
                <w:b/>
                <w:bCs/>
                <w:sz w:val="22"/>
                <w:szCs w:val="22"/>
              </w:rPr>
              <w:t>SCS [kHz]</w:t>
            </w:r>
          </w:p>
        </w:tc>
        <w:tc>
          <w:tcPr>
            <w:tcW w:w="1840" w:type="dxa"/>
            <w:noWrap/>
            <w:hideMark/>
          </w:tcPr>
          <w:p w14:paraId="7008F129" w14:textId="10FC5754" w:rsidR="00267FE7" w:rsidRPr="00A605BF" w:rsidRDefault="00267FE7" w:rsidP="004662AA">
            <w:pPr>
              <w:rPr>
                <w:b/>
                <w:bCs/>
                <w:sz w:val="22"/>
                <w:szCs w:val="22"/>
              </w:rPr>
            </w:pPr>
            <w:r>
              <w:rPr>
                <w:b/>
                <w:bCs/>
                <w:sz w:val="22"/>
                <w:szCs w:val="22"/>
              </w:rPr>
              <w:t>N-</w:t>
            </w:r>
            <w:r w:rsidRPr="00A605BF">
              <w:rPr>
                <w:b/>
                <w:bCs/>
                <w:sz w:val="22"/>
                <w:szCs w:val="22"/>
              </w:rPr>
              <w:t>CP length [</w:t>
            </w:r>
            <w:r w:rsidRPr="00A605BF">
              <w:rPr>
                <w:b/>
                <w:bCs/>
                <w:i/>
                <w:iCs/>
                <w:sz w:val="22"/>
                <w:szCs w:val="22"/>
              </w:rPr>
              <w:t>μs</w:t>
            </w:r>
            <w:r w:rsidRPr="00A605BF">
              <w:rPr>
                <w:sz w:val="22"/>
                <w:szCs w:val="22"/>
              </w:rPr>
              <w:t>]</w:t>
            </w:r>
          </w:p>
        </w:tc>
        <w:tc>
          <w:tcPr>
            <w:tcW w:w="1840" w:type="dxa"/>
          </w:tcPr>
          <w:p w14:paraId="11D7DDC8" w14:textId="69386A28" w:rsidR="00267FE7" w:rsidRPr="00A605BF" w:rsidRDefault="00267FE7" w:rsidP="004662AA">
            <w:pPr>
              <w:rPr>
                <w:b/>
                <w:bCs/>
                <w:sz w:val="22"/>
                <w:szCs w:val="22"/>
              </w:rPr>
            </w:pPr>
            <w:r>
              <w:rPr>
                <w:b/>
                <w:bCs/>
                <w:sz w:val="22"/>
                <w:szCs w:val="22"/>
              </w:rPr>
              <w:t>E-</w:t>
            </w:r>
            <w:r w:rsidRPr="00A605BF">
              <w:rPr>
                <w:b/>
                <w:bCs/>
                <w:sz w:val="22"/>
                <w:szCs w:val="22"/>
              </w:rPr>
              <w:t>CP length [</w:t>
            </w:r>
            <w:r w:rsidRPr="00A605BF">
              <w:rPr>
                <w:b/>
                <w:bCs/>
                <w:i/>
                <w:iCs/>
                <w:sz w:val="22"/>
                <w:szCs w:val="22"/>
              </w:rPr>
              <w:t>μs</w:t>
            </w:r>
            <w:r w:rsidRPr="00A605BF">
              <w:rPr>
                <w:sz w:val="22"/>
                <w:szCs w:val="22"/>
              </w:rPr>
              <w:t>]</w:t>
            </w:r>
          </w:p>
        </w:tc>
      </w:tr>
      <w:tr w:rsidR="00267FE7" w:rsidRPr="00A605BF" w14:paraId="53740780" w14:textId="21640E29" w:rsidTr="004662AA">
        <w:trPr>
          <w:trHeight w:val="290"/>
          <w:jc w:val="center"/>
        </w:trPr>
        <w:tc>
          <w:tcPr>
            <w:tcW w:w="704" w:type="dxa"/>
            <w:noWrap/>
            <w:hideMark/>
          </w:tcPr>
          <w:p w14:paraId="241FACC0" w14:textId="77777777" w:rsidR="00267FE7" w:rsidRPr="00A605BF" w:rsidRDefault="00267FE7" w:rsidP="004662AA">
            <w:pPr>
              <w:rPr>
                <w:sz w:val="22"/>
                <w:szCs w:val="22"/>
              </w:rPr>
            </w:pPr>
            <w:r w:rsidRPr="00A605BF">
              <w:rPr>
                <w:sz w:val="22"/>
                <w:szCs w:val="22"/>
              </w:rPr>
              <w:t>0</w:t>
            </w:r>
          </w:p>
        </w:tc>
        <w:tc>
          <w:tcPr>
            <w:tcW w:w="1559" w:type="dxa"/>
            <w:noWrap/>
            <w:hideMark/>
          </w:tcPr>
          <w:p w14:paraId="6E330D93" w14:textId="77777777" w:rsidR="00267FE7" w:rsidRPr="00A605BF" w:rsidRDefault="00267FE7" w:rsidP="004662AA">
            <w:pPr>
              <w:rPr>
                <w:sz w:val="22"/>
                <w:szCs w:val="22"/>
              </w:rPr>
            </w:pPr>
            <w:r w:rsidRPr="00A605BF">
              <w:rPr>
                <w:sz w:val="22"/>
                <w:szCs w:val="22"/>
              </w:rPr>
              <w:t>15</w:t>
            </w:r>
          </w:p>
        </w:tc>
        <w:tc>
          <w:tcPr>
            <w:tcW w:w="1840" w:type="dxa"/>
            <w:noWrap/>
            <w:hideMark/>
          </w:tcPr>
          <w:p w14:paraId="128D57F5" w14:textId="77777777" w:rsidR="00267FE7" w:rsidRPr="00A605BF" w:rsidRDefault="00267FE7" w:rsidP="004662AA">
            <w:pPr>
              <w:rPr>
                <w:sz w:val="22"/>
                <w:szCs w:val="22"/>
              </w:rPr>
            </w:pPr>
            <w:r w:rsidRPr="00946157">
              <w:rPr>
                <w:color w:val="00B0F0"/>
                <w:sz w:val="22"/>
                <w:szCs w:val="22"/>
              </w:rPr>
              <w:t>4.69</w:t>
            </w:r>
          </w:p>
        </w:tc>
        <w:tc>
          <w:tcPr>
            <w:tcW w:w="1840" w:type="dxa"/>
          </w:tcPr>
          <w:p w14:paraId="167FFFD5" w14:textId="2E80B5C7" w:rsidR="00267FE7" w:rsidRPr="00946157" w:rsidRDefault="00267FE7" w:rsidP="004662AA">
            <w:pPr>
              <w:rPr>
                <w:color w:val="00B050"/>
                <w:sz w:val="22"/>
                <w:szCs w:val="22"/>
              </w:rPr>
            </w:pPr>
            <w:r w:rsidRPr="00946157">
              <w:rPr>
                <w:color w:val="00B050"/>
                <w:sz w:val="22"/>
                <w:szCs w:val="22"/>
              </w:rPr>
              <w:t>16.67</w:t>
            </w:r>
          </w:p>
        </w:tc>
      </w:tr>
      <w:tr w:rsidR="00267FE7" w:rsidRPr="00A605BF" w14:paraId="6B2E6A59" w14:textId="4786460D" w:rsidTr="004662AA">
        <w:trPr>
          <w:trHeight w:val="290"/>
          <w:jc w:val="center"/>
        </w:trPr>
        <w:tc>
          <w:tcPr>
            <w:tcW w:w="704" w:type="dxa"/>
            <w:noWrap/>
            <w:hideMark/>
          </w:tcPr>
          <w:p w14:paraId="2550ADDE" w14:textId="77777777" w:rsidR="00267FE7" w:rsidRPr="00A605BF" w:rsidRDefault="00267FE7" w:rsidP="004662AA">
            <w:pPr>
              <w:rPr>
                <w:sz w:val="22"/>
                <w:szCs w:val="22"/>
              </w:rPr>
            </w:pPr>
            <w:r w:rsidRPr="00A605BF">
              <w:rPr>
                <w:sz w:val="22"/>
                <w:szCs w:val="22"/>
              </w:rPr>
              <w:t>1</w:t>
            </w:r>
          </w:p>
        </w:tc>
        <w:tc>
          <w:tcPr>
            <w:tcW w:w="1559" w:type="dxa"/>
            <w:noWrap/>
            <w:hideMark/>
          </w:tcPr>
          <w:p w14:paraId="232AD47F" w14:textId="77777777" w:rsidR="00267FE7" w:rsidRPr="00A605BF" w:rsidRDefault="00267FE7" w:rsidP="004662AA">
            <w:pPr>
              <w:rPr>
                <w:sz w:val="22"/>
                <w:szCs w:val="22"/>
              </w:rPr>
            </w:pPr>
            <w:r w:rsidRPr="00A605BF">
              <w:rPr>
                <w:sz w:val="22"/>
                <w:szCs w:val="22"/>
              </w:rPr>
              <w:t>30</w:t>
            </w:r>
          </w:p>
        </w:tc>
        <w:tc>
          <w:tcPr>
            <w:tcW w:w="1840" w:type="dxa"/>
            <w:noWrap/>
            <w:hideMark/>
          </w:tcPr>
          <w:p w14:paraId="1817FC15" w14:textId="77777777" w:rsidR="00267FE7" w:rsidRPr="00946157" w:rsidRDefault="00267FE7" w:rsidP="004662AA">
            <w:pPr>
              <w:rPr>
                <w:color w:val="C00000"/>
                <w:sz w:val="22"/>
                <w:szCs w:val="22"/>
              </w:rPr>
            </w:pPr>
            <w:r w:rsidRPr="00946157">
              <w:rPr>
                <w:color w:val="C00000"/>
                <w:sz w:val="22"/>
                <w:szCs w:val="22"/>
              </w:rPr>
              <w:t>2.34</w:t>
            </w:r>
          </w:p>
        </w:tc>
        <w:tc>
          <w:tcPr>
            <w:tcW w:w="1840" w:type="dxa"/>
          </w:tcPr>
          <w:p w14:paraId="053A38FE" w14:textId="51718CFA" w:rsidR="00267FE7" w:rsidRPr="00946157" w:rsidRDefault="00267FE7" w:rsidP="004662AA">
            <w:pPr>
              <w:rPr>
                <w:color w:val="00B050"/>
                <w:sz w:val="22"/>
                <w:szCs w:val="22"/>
              </w:rPr>
            </w:pPr>
            <w:r w:rsidRPr="00946157">
              <w:rPr>
                <w:color w:val="00B050"/>
                <w:sz w:val="22"/>
                <w:szCs w:val="22"/>
              </w:rPr>
              <w:t>8.33</w:t>
            </w:r>
          </w:p>
        </w:tc>
      </w:tr>
      <w:tr w:rsidR="00267FE7" w:rsidRPr="00A605BF" w14:paraId="77261857" w14:textId="25A91AB4" w:rsidTr="004662AA">
        <w:trPr>
          <w:trHeight w:val="290"/>
          <w:jc w:val="center"/>
        </w:trPr>
        <w:tc>
          <w:tcPr>
            <w:tcW w:w="704" w:type="dxa"/>
            <w:noWrap/>
            <w:hideMark/>
          </w:tcPr>
          <w:p w14:paraId="6EB2C56D" w14:textId="77777777" w:rsidR="00267FE7" w:rsidRPr="00A605BF" w:rsidRDefault="00267FE7" w:rsidP="004662AA">
            <w:pPr>
              <w:rPr>
                <w:sz w:val="22"/>
                <w:szCs w:val="22"/>
              </w:rPr>
            </w:pPr>
            <w:r w:rsidRPr="00A605BF">
              <w:rPr>
                <w:sz w:val="22"/>
                <w:szCs w:val="22"/>
              </w:rPr>
              <w:t>2</w:t>
            </w:r>
          </w:p>
        </w:tc>
        <w:tc>
          <w:tcPr>
            <w:tcW w:w="1559" w:type="dxa"/>
            <w:noWrap/>
            <w:hideMark/>
          </w:tcPr>
          <w:p w14:paraId="5B4CD26B" w14:textId="77777777" w:rsidR="00267FE7" w:rsidRPr="00A605BF" w:rsidRDefault="00267FE7" w:rsidP="004662AA">
            <w:pPr>
              <w:rPr>
                <w:sz w:val="22"/>
                <w:szCs w:val="22"/>
              </w:rPr>
            </w:pPr>
            <w:r w:rsidRPr="00A605BF">
              <w:rPr>
                <w:sz w:val="22"/>
                <w:szCs w:val="22"/>
              </w:rPr>
              <w:t>60</w:t>
            </w:r>
          </w:p>
        </w:tc>
        <w:tc>
          <w:tcPr>
            <w:tcW w:w="1840" w:type="dxa"/>
            <w:noWrap/>
            <w:hideMark/>
          </w:tcPr>
          <w:p w14:paraId="54C07A71" w14:textId="12F8A47E" w:rsidR="00267FE7" w:rsidRPr="00946157" w:rsidRDefault="00267FE7" w:rsidP="004662AA">
            <w:pPr>
              <w:rPr>
                <w:color w:val="C00000"/>
                <w:sz w:val="22"/>
                <w:szCs w:val="22"/>
              </w:rPr>
            </w:pPr>
            <w:r w:rsidRPr="00946157">
              <w:rPr>
                <w:color w:val="C00000"/>
                <w:sz w:val="22"/>
                <w:szCs w:val="22"/>
              </w:rPr>
              <w:t>1.17</w:t>
            </w:r>
          </w:p>
        </w:tc>
        <w:tc>
          <w:tcPr>
            <w:tcW w:w="1840" w:type="dxa"/>
          </w:tcPr>
          <w:p w14:paraId="6372283B" w14:textId="1BE6BF22" w:rsidR="00267FE7" w:rsidRPr="00A605BF" w:rsidRDefault="00267FE7" w:rsidP="004662AA">
            <w:pPr>
              <w:rPr>
                <w:sz w:val="22"/>
                <w:szCs w:val="22"/>
              </w:rPr>
            </w:pPr>
            <w:r w:rsidRPr="00946157">
              <w:rPr>
                <w:color w:val="00B0F0"/>
                <w:sz w:val="22"/>
                <w:szCs w:val="22"/>
              </w:rPr>
              <w:t>4.17</w:t>
            </w:r>
          </w:p>
        </w:tc>
      </w:tr>
      <w:tr w:rsidR="00267FE7" w:rsidRPr="00A605BF" w14:paraId="34C56744" w14:textId="2D7E4C28" w:rsidTr="004662AA">
        <w:trPr>
          <w:trHeight w:val="290"/>
          <w:jc w:val="center"/>
        </w:trPr>
        <w:tc>
          <w:tcPr>
            <w:tcW w:w="704" w:type="dxa"/>
            <w:noWrap/>
            <w:hideMark/>
          </w:tcPr>
          <w:p w14:paraId="0B80B2E7" w14:textId="77777777" w:rsidR="00267FE7" w:rsidRPr="00A605BF" w:rsidRDefault="00267FE7" w:rsidP="004662AA">
            <w:pPr>
              <w:rPr>
                <w:sz w:val="22"/>
                <w:szCs w:val="22"/>
              </w:rPr>
            </w:pPr>
            <w:r w:rsidRPr="00A605BF">
              <w:rPr>
                <w:sz w:val="22"/>
                <w:szCs w:val="22"/>
              </w:rPr>
              <w:t>3</w:t>
            </w:r>
          </w:p>
        </w:tc>
        <w:tc>
          <w:tcPr>
            <w:tcW w:w="1559" w:type="dxa"/>
            <w:noWrap/>
            <w:hideMark/>
          </w:tcPr>
          <w:p w14:paraId="635BED9B" w14:textId="77777777" w:rsidR="00267FE7" w:rsidRPr="00A605BF" w:rsidRDefault="00267FE7" w:rsidP="004662AA">
            <w:pPr>
              <w:rPr>
                <w:sz w:val="22"/>
                <w:szCs w:val="22"/>
              </w:rPr>
            </w:pPr>
            <w:r w:rsidRPr="00A605BF">
              <w:rPr>
                <w:sz w:val="22"/>
                <w:szCs w:val="22"/>
              </w:rPr>
              <w:t>120</w:t>
            </w:r>
          </w:p>
        </w:tc>
        <w:tc>
          <w:tcPr>
            <w:tcW w:w="1840" w:type="dxa"/>
            <w:noWrap/>
            <w:hideMark/>
          </w:tcPr>
          <w:p w14:paraId="0865644C" w14:textId="77777777" w:rsidR="00267FE7" w:rsidRPr="00946157" w:rsidRDefault="00267FE7" w:rsidP="004662AA">
            <w:pPr>
              <w:rPr>
                <w:color w:val="C00000"/>
                <w:sz w:val="22"/>
                <w:szCs w:val="22"/>
              </w:rPr>
            </w:pPr>
            <w:r w:rsidRPr="00946157">
              <w:rPr>
                <w:color w:val="C00000"/>
                <w:sz w:val="22"/>
                <w:szCs w:val="22"/>
              </w:rPr>
              <w:t>0.586</w:t>
            </w:r>
          </w:p>
        </w:tc>
        <w:tc>
          <w:tcPr>
            <w:tcW w:w="1840" w:type="dxa"/>
          </w:tcPr>
          <w:p w14:paraId="613C6382" w14:textId="305BD050" w:rsidR="00267FE7" w:rsidRPr="00A605BF" w:rsidRDefault="00267FE7" w:rsidP="004662AA">
            <w:pPr>
              <w:rPr>
                <w:sz w:val="22"/>
                <w:szCs w:val="22"/>
              </w:rPr>
            </w:pPr>
            <w:r w:rsidRPr="00946157">
              <w:rPr>
                <w:color w:val="C00000"/>
                <w:sz w:val="22"/>
                <w:szCs w:val="22"/>
              </w:rPr>
              <w:t>2.08</w:t>
            </w:r>
          </w:p>
        </w:tc>
      </w:tr>
    </w:tbl>
    <w:p w14:paraId="14176343" w14:textId="77777777" w:rsidR="00267FE7" w:rsidRDefault="00267FE7" w:rsidP="00267FE7">
      <w:pPr>
        <w:jc w:val="both"/>
        <w:rPr>
          <w:sz w:val="22"/>
          <w:szCs w:val="22"/>
        </w:rPr>
      </w:pPr>
    </w:p>
    <w:p w14:paraId="690C240F" w14:textId="77777777" w:rsidR="00B7732D" w:rsidRPr="006055AB" w:rsidRDefault="00B7732D" w:rsidP="00B7732D">
      <w:pPr>
        <w:spacing w:after="120"/>
        <w:jc w:val="both"/>
        <w:rPr>
          <w:b/>
          <w:i/>
          <w:sz w:val="22"/>
          <w:szCs w:val="22"/>
        </w:rPr>
      </w:pPr>
      <w:r w:rsidRPr="006055AB">
        <w:rPr>
          <w:b/>
          <w:i/>
          <w:sz w:val="22"/>
          <w:szCs w:val="22"/>
        </w:rPr>
        <w:t xml:space="preserve">Proposal 1: </w:t>
      </w:r>
    </w:p>
    <w:p w14:paraId="73E1C71C" w14:textId="58D544F9" w:rsidR="00D53716" w:rsidRDefault="00B7732D" w:rsidP="00B7732D">
      <w:pPr>
        <w:pStyle w:val="a5"/>
        <w:numPr>
          <w:ilvl w:val="0"/>
          <w:numId w:val="3"/>
        </w:numPr>
        <w:jc w:val="both"/>
        <w:rPr>
          <w:rFonts w:ascii="Times New Roman" w:hAnsi="Times New Roman"/>
          <w:b/>
          <w:i/>
        </w:rPr>
      </w:pPr>
      <w:r>
        <w:rPr>
          <w:rFonts w:ascii="Times New Roman" w:hAnsi="Times New Roman"/>
          <w:b/>
          <w:i/>
        </w:rPr>
        <w:t>Both normal CP and extended CP should be considered for NR sidelink;</w:t>
      </w:r>
    </w:p>
    <w:p w14:paraId="08C3FCB8" w14:textId="12C32BD8" w:rsidR="00B7732D" w:rsidRPr="00B7732D" w:rsidRDefault="00B7732D" w:rsidP="00B7732D">
      <w:pPr>
        <w:pStyle w:val="a5"/>
        <w:numPr>
          <w:ilvl w:val="0"/>
          <w:numId w:val="3"/>
        </w:numPr>
        <w:jc w:val="both"/>
        <w:rPr>
          <w:rFonts w:ascii="Times New Roman" w:hAnsi="Times New Roman"/>
          <w:b/>
          <w:i/>
        </w:rPr>
      </w:pPr>
      <w:r>
        <w:rPr>
          <w:rFonts w:ascii="Times New Roman" w:hAnsi="Times New Roman"/>
          <w:b/>
          <w:i/>
        </w:rPr>
        <w:t xml:space="preserve">The selection between normal CP and extended CP should take into account SCS and sync reference </w:t>
      </w:r>
      <w:r w:rsidR="00534F20">
        <w:rPr>
          <w:rFonts w:ascii="Times New Roman" w:hAnsi="Times New Roman"/>
          <w:b/>
          <w:i/>
        </w:rPr>
        <w:t>type;</w:t>
      </w:r>
    </w:p>
    <w:p w14:paraId="1DE5C5AE" w14:textId="17FE7AF8" w:rsidR="006055AB" w:rsidRPr="007C72D9" w:rsidRDefault="00C71C6F" w:rsidP="007C72D9">
      <w:pPr>
        <w:spacing w:before="240" w:after="120"/>
        <w:jc w:val="both"/>
        <w:rPr>
          <w:b/>
          <w:sz w:val="22"/>
          <w:szCs w:val="22"/>
          <w:u w:val="single"/>
        </w:rPr>
      </w:pPr>
      <w:r>
        <w:rPr>
          <w:b/>
          <w:sz w:val="22"/>
          <w:szCs w:val="22"/>
          <w:u w:val="single"/>
        </w:rPr>
        <w:t>Waveform</w:t>
      </w:r>
    </w:p>
    <w:p w14:paraId="0440F3D7" w14:textId="43DF6F91" w:rsidR="0023748F" w:rsidRDefault="00F850CB" w:rsidP="004D2AB8">
      <w:pPr>
        <w:spacing w:after="120"/>
        <w:jc w:val="both"/>
        <w:rPr>
          <w:sz w:val="22"/>
          <w:szCs w:val="22"/>
        </w:rPr>
      </w:pPr>
      <w:r>
        <w:rPr>
          <w:sz w:val="22"/>
          <w:szCs w:val="22"/>
        </w:rPr>
        <w:t xml:space="preserve">It was discussed in the last meeting that if NR V2X supports both DFT-s-OFDM and CP-OFDM or only supports CP-OFDM. </w:t>
      </w:r>
      <w:r w:rsidR="008816AE">
        <w:rPr>
          <w:sz w:val="22"/>
          <w:szCs w:val="22"/>
        </w:rPr>
        <w:t xml:space="preserve">In contrast to CP-OFDM, DFT-s-OFDM has lower PAPR, which is beneficial in </w:t>
      </w:r>
      <w:r w:rsidR="009C6A34">
        <w:rPr>
          <w:sz w:val="22"/>
          <w:szCs w:val="22"/>
        </w:rPr>
        <w:t xml:space="preserve">link budget </w:t>
      </w:r>
      <w:r w:rsidR="008816AE">
        <w:rPr>
          <w:sz w:val="22"/>
          <w:szCs w:val="22"/>
        </w:rPr>
        <w:t xml:space="preserve">limited scenario. However, as mentioned above, the maximum coverage requirement of NR V2X use cases is </w:t>
      </w:r>
      <w:r w:rsidR="00BE1E8D">
        <w:rPr>
          <w:sz w:val="22"/>
          <w:szCs w:val="22"/>
        </w:rPr>
        <w:t xml:space="preserve">only </w:t>
      </w:r>
      <w:r w:rsidR="008816AE">
        <w:rPr>
          <w:sz w:val="22"/>
          <w:szCs w:val="22"/>
        </w:rPr>
        <w:t>about 1000m</w:t>
      </w:r>
      <w:r w:rsidR="00BE1E8D">
        <w:rPr>
          <w:sz w:val="22"/>
          <w:szCs w:val="22"/>
        </w:rPr>
        <w:t xml:space="preserve">.  Hence, at least for FR1, there is no need to use DFT-s-OFDM. </w:t>
      </w:r>
      <w:r w:rsidR="00680E85">
        <w:rPr>
          <w:sz w:val="22"/>
          <w:szCs w:val="22"/>
        </w:rPr>
        <w:t>As to FR2, 60 kHz and 120 kHz SCS are used</w:t>
      </w:r>
      <w:r w:rsidR="006659FA">
        <w:rPr>
          <w:sz w:val="22"/>
          <w:szCs w:val="22"/>
        </w:rPr>
        <w:t xml:space="preserve">, considering the limited CP length, it seems very challenging to support use cases with large coverage requirement on FR2. </w:t>
      </w:r>
      <w:r w:rsidR="008E279A">
        <w:rPr>
          <w:sz w:val="22"/>
          <w:szCs w:val="22"/>
        </w:rPr>
        <w:t>As</w:t>
      </w:r>
      <w:r w:rsidR="00DC6B47">
        <w:rPr>
          <w:sz w:val="22"/>
          <w:szCs w:val="22"/>
        </w:rPr>
        <w:t xml:space="preserve"> support</w:t>
      </w:r>
      <w:r w:rsidR="00694EB3">
        <w:rPr>
          <w:sz w:val="22"/>
          <w:szCs w:val="22"/>
        </w:rPr>
        <w:t xml:space="preserve"> of</w:t>
      </w:r>
      <w:r w:rsidR="00DC6B47">
        <w:rPr>
          <w:sz w:val="22"/>
          <w:szCs w:val="22"/>
        </w:rPr>
        <w:t xml:space="preserve"> multiple waveforms can complicate the UE implementation (need to support multiple receivers)</w:t>
      </w:r>
      <w:r w:rsidR="004D0D5C">
        <w:rPr>
          <w:sz w:val="22"/>
          <w:szCs w:val="22"/>
        </w:rPr>
        <w:t xml:space="preserve">, </w:t>
      </w:r>
      <w:r w:rsidR="008E279A">
        <w:rPr>
          <w:sz w:val="22"/>
          <w:szCs w:val="22"/>
        </w:rPr>
        <w:t>it is preferable that only CP-OFDM is supported in NR V2X</w:t>
      </w:r>
      <w:r w:rsidR="00DC6B47">
        <w:rPr>
          <w:sz w:val="22"/>
          <w:szCs w:val="22"/>
        </w:rPr>
        <w:t xml:space="preserve">. </w:t>
      </w:r>
      <w:r w:rsidR="006659FA">
        <w:rPr>
          <w:rFonts w:hint="eastAsia"/>
          <w:sz w:val="22"/>
          <w:szCs w:val="22"/>
        </w:rPr>
        <w:t xml:space="preserve"> </w:t>
      </w:r>
    </w:p>
    <w:p w14:paraId="09F2B7EA" w14:textId="432708DE" w:rsidR="00705A3A" w:rsidRPr="006055AB" w:rsidRDefault="00602684" w:rsidP="004D2AB8">
      <w:pPr>
        <w:spacing w:after="120"/>
        <w:jc w:val="both"/>
        <w:rPr>
          <w:b/>
          <w:i/>
          <w:sz w:val="22"/>
          <w:szCs w:val="22"/>
        </w:rPr>
      </w:pPr>
      <w:r w:rsidRPr="006055AB">
        <w:rPr>
          <w:b/>
          <w:i/>
          <w:sz w:val="22"/>
          <w:szCs w:val="22"/>
        </w:rPr>
        <w:t xml:space="preserve">Proposal </w:t>
      </w:r>
      <w:r w:rsidR="00DC6B47">
        <w:rPr>
          <w:b/>
          <w:i/>
          <w:sz w:val="22"/>
          <w:szCs w:val="22"/>
        </w:rPr>
        <w:t>2</w:t>
      </w:r>
      <w:r w:rsidRPr="006055AB">
        <w:rPr>
          <w:b/>
          <w:i/>
          <w:sz w:val="22"/>
          <w:szCs w:val="22"/>
        </w:rPr>
        <w:t xml:space="preserve">: </w:t>
      </w:r>
    </w:p>
    <w:p w14:paraId="14BC3CF1" w14:textId="1FED1A77" w:rsidR="009C2388" w:rsidRPr="004D7D51" w:rsidRDefault="00DC6B47" w:rsidP="004D7D51">
      <w:pPr>
        <w:pStyle w:val="a5"/>
        <w:numPr>
          <w:ilvl w:val="0"/>
          <w:numId w:val="3"/>
        </w:numPr>
        <w:jc w:val="both"/>
        <w:rPr>
          <w:rFonts w:ascii="Times New Roman" w:hAnsi="Times New Roman"/>
          <w:b/>
          <w:i/>
        </w:rPr>
      </w:pPr>
      <w:r>
        <w:rPr>
          <w:rFonts w:ascii="Times New Roman" w:hAnsi="Times New Roman"/>
          <w:b/>
          <w:i/>
        </w:rPr>
        <w:t>Only CP-OFDM is supported in NR V2X</w:t>
      </w:r>
      <w:r w:rsidR="009C2388">
        <w:rPr>
          <w:rFonts w:ascii="Times New Roman" w:hAnsi="Times New Roman"/>
          <w:b/>
          <w:i/>
        </w:rPr>
        <w:t>;</w:t>
      </w:r>
    </w:p>
    <w:p w14:paraId="510BD9E3" w14:textId="11A0CE88" w:rsidR="00BA072C" w:rsidRPr="00BA072C" w:rsidRDefault="00E96E99" w:rsidP="00BA072C">
      <w:pPr>
        <w:spacing w:before="240" w:after="120"/>
        <w:jc w:val="both"/>
        <w:rPr>
          <w:b/>
          <w:sz w:val="22"/>
          <w:szCs w:val="22"/>
          <w:u w:val="single"/>
        </w:rPr>
      </w:pPr>
      <w:r>
        <w:rPr>
          <w:b/>
          <w:sz w:val="22"/>
          <w:szCs w:val="22"/>
          <w:u w:val="single"/>
        </w:rPr>
        <w:t xml:space="preserve">Control and data </w:t>
      </w:r>
      <w:r w:rsidR="00606501">
        <w:rPr>
          <w:b/>
          <w:sz w:val="22"/>
          <w:szCs w:val="22"/>
          <w:u w:val="single"/>
        </w:rPr>
        <w:t>multiplexing</w:t>
      </w:r>
    </w:p>
    <w:p w14:paraId="391C4AEC" w14:textId="30AF765F" w:rsidR="00044C54" w:rsidRDefault="00AA2C7B" w:rsidP="00A5243A">
      <w:pPr>
        <w:spacing w:after="240"/>
        <w:jc w:val="both"/>
        <w:rPr>
          <w:sz w:val="22"/>
          <w:szCs w:val="22"/>
        </w:rPr>
      </w:pPr>
      <w:r>
        <w:rPr>
          <w:sz w:val="22"/>
          <w:szCs w:val="22"/>
        </w:rPr>
        <w:t xml:space="preserve">According to the </w:t>
      </w:r>
      <w:r w:rsidR="00FB7366">
        <w:rPr>
          <w:rFonts w:hint="eastAsia"/>
          <w:sz w:val="22"/>
          <w:szCs w:val="22"/>
        </w:rPr>
        <w:t>ag</w:t>
      </w:r>
      <w:r w:rsidR="00FB7366">
        <w:rPr>
          <w:sz w:val="22"/>
          <w:szCs w:val="22"/>
        </w:rPr>
        <w:t xml:space="preserve">reement achieved in the </w:t>
      </w:r>
      <w:r>
        <w:rPr>
          <w:sz w:val="22"/>
          <w:szCs w:val="22"/>
        </w:rPr>
        <w:t xml:space="preserve">last meeting, at least </w:t>
      </w:r>
      <w:r w:rsidR="00DE0846">
        <w:rPr>
          <w:rFonts w:hint="eastAsia"/>
          <w:sz w:val="22"/>
          <w:szCs w:val="22"/>
        </w:rPr>
        <w:t>o</w:t>
      </w:r>
      <w:r w:rsidR="00DE0846">
        <w:rPr>
          <w:sz w:val="22"/>
          <w:szCs w:val="22"/>
        </w:rPr>
        <w:t xml:space="preserve">ne of </w:t>
      </w:r>
      <w:r>
        <w:rPr>
          <w:sz w:val="22"/>
          <w:szCs w:val="22"/>
        </w:rPr>
        <w:t>Option 1A, 1B and</w:t>
      </w:r>
      <w:r w:rsidR="00810C53">
        <w:rPr>
          <w:sz w:val="22"/>
          <w:szCs w:val="22"/>
        </w:rPr>
        <w:t xml:space="preserve"> Option</w:t>
      </w:r>
      <w:r>
        <w:rPr>
          <w:sz w:val="22"/>
          <w:szCs w:val="22"/>
        </w:rPr>
        <w:t xml:space="preserve"> 3 is supported for PSCCH and PSSCH multiplexing. </w:t>
      </w:r>
      <w:r w:rsidR="00074A21">
        <w:rPr>
          <w:sz w:val="22"/>
          <w:szCs w:val="22"/>
        </w:rPr>
        <w:t xml:space="preserve">In all these three options, the PSCCH is located before the PSSCH, such that fast decoding can be supported. For Option 1A, since the resource size for PSCCH is not fixed, </w:t>
      </w:r>
      <w:r w:rsidR="000909B6">
        <w:rPr>
          <w:sz w:val="22"/>
          <w:szCs w:val="22"/>
        </w:rPr>
        <w:t xml:space="preserve">UE needs to detect PSCCH blindly, and the link budget </w:t>
      </w:r>
      <w:r w:rsidR="002578E8">
        <w:rPr>
          <w:sz w:val="22"/>
          <w:szCs w:val="22"/>
        </w:rPr>
        <w:t>of</w:t>
      </w:r>
      <w:r w:rsidR="000909B6">
        <w:rPr>
          <w:sz w:val="22"/>
          <w:szCs w:val="22"/>
        </w:rPr>
        <w:t xml:space="preserve"> PSCCH may vary dramatically. </w:t>
      </w:r>
      <w:r w:rsidR="000909B6">
        <w:rPr>
          <w:sz w:val="22"/>
          <w:szCs w:val="22"/>
        </w:rPr>
        <w:lastRenderedPageBreak/>
        <w:t xml:space="preserve">For Option 1B, the power of PSCCH and the PSSCH </w:t>
      </w:r>
      <w:r w:rsidR="001F24B4">
        <w:rPr>
          <w:sz w:val="22"/>
          <w:szCs w:val="22"/>
        </w:rPr>
        <w:t>have to</w:t>
      </w:r>
      <w:r w:rsidR="000909B6">
        <w:rPr>
          <w:sz w:val="22"/>
          <w:szCs w:val="22"/>
        </w:rPr>
        <w:t xml:space="preserve"> be the same to avoid the transient time at the transmitter, and avoid separate AGC settling for PSCCH and PSSCH reception</w:t>
      </w:r>
      <w:r w:rsidR="001F24B4">
        <w:rPr>
          <w:sz w:val="22"/>
          <w:szCs w:val="22"/>
        </w:rPr>
        <w:t xml:space="preserve">, this can also cause the </w:t>
      </w:r>
      <w:r w:rsidR="001F24B4">
        <w:rPr>
          <w:rFonts w:hint="eastAsia"/>
          <w:sz w:val="22"/>
          <w:szCs w:val="22"/>
        </w:rPr>
        <w:t>varying</w:t>
      </w:r>
      <w:r w:rsidR="001F24B4">
        <w:rPr>
          <w:sz w:val="22"/>
          <w:szCs w:val="22"/>
        </w:rPr>
        <w:t xml:space="preserve"> of PSCCH link budget</w:t>
      </w:r>
      <w:r w:rsidR="000909B6">
        <w:rPr>
          <w:sz w:val="22"/>
          <w:szCs w:val="22"/>
        </w:rPr>
        <w:t>.</w:t>
      </w:r>
      <w:r w:rsidR="001843AA">
        <w:rPr>
          <w:sz w:val="22"/>
          <w:szCs w:val="22"/>
        </w:rPr>
        <w:t xml:space="preserve"> </w:t>
      </w:r>
      <w:r w:rsidR="009843B2">
        <w:rPr>
          <w:sz w:val="22"/>
          <w:szCs w:val="22"/>
        </w:rPr>
        <w:t xml:space="preserve">Furthermore, the resource efficiency of Option 1B is relatively low, as some resources may not be used when PSSCH bandwidth is larger than PSCCH. </w:t>
      </w:r>
      <w:r w:rsidR="00C63ED0">
        <w:rPr>
          <w:sz w:val="22"/>
          <w:szCs w:val="22"/>
        </w:rPr>
        <w:t xml:space="preserve">Option 3 </w:t>
      </w:r>
      <w:r w:rsidR="009843B2">
        <w:rPr>
          <w:sz w:val="22"/>
          <w:szCs w:val="22"/>
        </w:rPr>
        <w:t>can avoid the potential issues in Option 1A and 1B</w:t>
      </w:r>
      <w:r w:rsidR="000E08E8">
        <w:rPr>
          <w:sz w:val="22"/>
          <w:szCs w:val="22"/>
        </w:rPr>
        <w:t>.</w:t>
      </w:r>
      <w:r w:rsidR="009843B2">
        <w:rPr>
          <w:sz w:val="22"/>
          <w:szCs w:val="22"/>
        </w:rPr>
        <w:t xml:space="preserve"> Additionally, there is no need to support more than one Options among Option 1A, 1B and Option 3.</w:t>
      </w:r>
    </w:p>
    <w:p w14:paraId="0FA02CC3" w14:textId="167D8F39" w:rsidR="009843B2" w:rsidRDefault="009843B2" w:rsidP="00AA2C7B">
      <w:pPr>
        <w:spacing w:after="120"/>
        <w:jc w:val="both"/>
        <w:rPr>
          <w:sz w:val="22"/>
          <w:szCs w:val="22"/>
        </w:rPr>
      </w:pPr>
      <w:r>
        <w:rPr>
          <w:sz w:val="22"/>
          <w:szCs w:val="22"/>
        </w:rPr>
        <w:t>The motivation to support</w:t>
      </w:r>
      <w:r w:rsidR="00063BE8">
        <w:rPr>
          <w:sz w:val="22"/>
          <w:szCs w:val="22"/>
        </w:rPr>
        <w:t xml:space="preserve"> Option 2 is not clear at this stage</w:t>
      </w:r>
      <w:r>
        <w:rPr>
          <w:sz w:val="22"/>
          <w:szCs w:val="22"/>
        </w:rPr>
        <w:t>.</w:t>
      </w:r>
    </w:p>
    <w:p w14:paraId="473E47AE" w14:textId="43D5C6DB" w:rsidR="009843B2" w:rsidRPr="006055AB" w:rsidRDefault="009843B2" w:rsidP="009843B2">
      <w:pPr>
        <w:spacing w:after="120"/>
        <w:jc w:val="both"/>
        <w:rPr>
          <w:b/>
          <w:i/>
          <w:sz w:val="22"/>
          <w:szCs w:val="22"/>
        </w:rPr>
      </w:pPr>
      <w:r w:rsidRPr="006055AB">
        <w:rPr>
          <w:b/>
          <w:i/>
          <w:sz w:val="22"/>
          <w:szCs w:val="22"/>
        </w:rPr>
        <w:t>Proposal</w:t>
      </w:r>
      <w:r>
        <w:rPr>
          <w:b/>
          <w:i/>
          <w:sz w:val="22"/>
          <w:szCs w:val="22"/>
        </w:rPr>
        <w:t xml:space="preserve"> 3</w:t>
      </w:r>
      <w:r w:rsidRPr="006055AB">
        <w:rPr>
          <w:b/>
          <w:i/>
          <w:sz w:val="22"/>
          <w:szCs w:val="22"/>
        </w:rPr>
        <w:t xml:space="preserve">: </w:t>
      </w:r>
    </w:p>
    <w:p w14:paraId="3B50C610" w14:textId="5897FDF6" w:rsidR="009843B2" w:rsidRPr="004D7D51" w:rsidRDefault="009843B2" w:rsidP="009843B2">
      <w:pPr>
        <w:pStyle w:val="a5"/>
        <w:numPr>
          <w:ilvl w:val="0"/>
          <w:numId w:val="3"/>
        </w:numPr>
        <w:jc w:val="both"/>
        <w:rPr>
          <w:rFonts w:ascii="Times New Roman" w:hAnsi="Times New Roman"/>
          <w:b/>
          <w:i/>
        </w:rPr>
      </w:pPr>
      <w:r>
        <w:rPr>
          <w:rFonts w:ascii="Times New Roman" w:hAnsi="Times New Roman"/>
          <w:b/>
          <w:i/>
        </w:rPr>
        <w:t xml:space="preserve">Only Option 3 </w:t>
      </w:r>
      <w:r w:rsidR="00063BE8">
        <w:rPr>
          <w:rFonts w:ascii="Times New Roman" w:hAnsi="Times New Roman"/>
          <w:b/>
          <w:i/>
        </w:rPr>
        <w:t>is supported for PSCCH and PSSCH multiplexing</w:t>
      </w:r>
      <w:r>
        <w:rPr>
          <w:rFonts w:ascii="Times New Roman" w:hAnsi="Times New Roman"/>
          <w:b/>
          <w:i/>
        </w:rPr>
        <w:t>;</w:t>
      </w:r>
    </w:p>
    <w:p w14:paraId="13CB5465" w14:textId="77777777" w:rsidR="009843B2" w:rsidRPr="009843B2" w:rsidRDefault="009843B2" w:rsidP="00AA2C7B">
      <w:pPr>
        <w:spacing w:after="120"/>
        <w:jc w:val="both"/>
        <w:rPr>
          <w:sz w:val="22"/>
          <w:szCs w:val="22"/>
          <w:lang w:val="en-AU"/>
        </w:rPr>
      </w:pPr>
    </w:p>
    <w:p w14:paraId="60177917" w14:textId="74A0C7F8" w:rsidR="00602684" w:rsidRPr="00BA072C" w:rsidRDefault="00E96E99" w:rsidP="005D0863">
      <w:pPr>
        <w:spacing w:before="240" w:after="120"/>
        <w:jc w:val="both"/>
        <w:rPr>
          <w:b/>
          <w:u w:val="single"/>
        </w:rPr>
      </w:pPr>
      <w:r>
        <w:rPr>
          <w:b/>
          <w:u w:val="single"/>
        </w:rPr>
        <w:t>AGC settling</w:t>
      </w:r>
      <w:r w:rsidR="00726C42">
        <w:rPr>
          <w:b/>
          <w:u w:val="single"/>
        </w:rPr>
        <w:t xml:space="preserve"> </w:t>
      </w:r>
      <w:r w:rsidR="00B15098">
        <w:rPr>
          <w:b/>
          <w:u w:val="single"/>
        </w:rPr>
        <w:t>and Gap</w:t>
      </w:r>
    </w:p>
    <w:p w14:paraId="491F1C73" w14:textId="3F4E82FD" w:rsidR="005B5F98" w:rsidRDefault="00A5243A" w:rsidP="00045E57">
      <w:pPr>
        <w:jc w:val="both"/>
        <w:rPr>
          <w:sz w:val="22"/>
          <w:szCs w:val="22"/>
        </w:rPr>
      </w:pPr>
      <w:r>
        <w:rPr>
          <w:sz w:val="22"/>
          <w:szCs w:val="22"/>
        </w:rPr>
        <w:t>In LTE V2X the first whole symbol of a subframe is used for AGC settling</w:t>
      </w:r>
      <w:r w:rsidR="00F07ECB">
        <w:rPr>
          <w:sz w:val="22"/>
          <w:szCs w:val="22"/>
        </w:rPr>
        <w:t>, and the last whole symbol of a subframe is reserved for Tx/Rx switching</w:t>
      </w:r>
      <w:r w:rsidR="00F03418">
        <w:rPr>
          <w:sz w:val="22"/>
          <w:szCs w:val="22"/>
        </w:rPr>
        <w:t xml:space="preserve"> (Gap)</w:t>
      </w:r>
      <w:r w:rsidR="004D7D51">
        <w:rPr>
          <w:sz w:val="22"/>
          <w:szCs w:val="22"/>
        </w:rPr>
        <w:t>.</w:t>
      </w:r>
      <w:r w:rsidR="00726C42">
        <w:rPr>
          <w:sz w:val="22"/>
          <w:szCs w:val="22"/>
        </w:rPr>
        <w:t xml:space="preserve"> According to the agreements in RAN1#94</w:t>
      </w:r>
      <w:r w:rsidR="00726C42">
        <w:rPr>
          <w:sz w:val="22"/>
          <w:szCs w:val="22"/>
        </w:rPr>
        <w:fldChar w:fldCharType="begin"/>
      </w:r>
      <w:r w:rsidR="00726C42">
        <w:rPr>
          <w:sz w:val="22"/>
          <w:szCs w:val="22"/>
        </w:rPr>
        <w:instrText xml:space="preserve"> REF _Ref528252164 \r \h </w:instrText>
      </w:r>
      <w:r w:rsidR="00726C42">
        <w:rPr>
          <w:sz w:val="22"/>
          <w:szCs w:val="22"/>
        </w:rPr>
      </w:r>
      <w:r w:rsidR="00726C42">
        <w:rPr>
          <w:sz w:val="22"/>
          <w:szCs w:val="22"/>
        </w:rPr>
        <w:fldChar w:fldCharType="separate"/>
      </w:r>
      <w:r w:rsidR="00726C42">
        <w:rPr>
          <w:sz w:val="22"/>
          <w:szCs w:val="22"/>
        </w:rPr>
        <w:t>[3]</w:t>
      </w:r>
      <w:r w:rsidR="00726C42">
        <w:rPr>
          <w:sz w:val="22"/>
          <w:szCs w:val="22"/>
        </w:rPr>
        <w:fldChar w:fldCharType="end"/>
      </w:r>
      <w:r w:rsidR="00726C42">
        <w:rPr>
          <w:sz w:val="22"/>
          <w:szCs w:val="22"/>
        </w:rPr>
        <w:t xml:space="preserve">, </w:t>
      </w:r>
      <w:r w:rsidR="00F03418">
        <w:rPr>
          <w:sz w:val="22"/>
          <w:szCs w:val="22"/>
        </w:rPr>
        <w:t xml:space="preserve">the time needed for AGC settling and Tx/Rx switching may be </w:t>
      </w:r>
      <w:r w:rsidR="00D92AAD">
        <w:rPr>
          <w:sz w:val="22"/>
          <w:szCs w:val="22"/>
        </w:rPr>
        <w:t xml:space="preserve">(up to RAN4 confirmation) </w:t>
      </w:r>
      <w:r w:rsidR="007976ED">
        <w:rPr>
          <w:sz w:val="22"/>
          <w:szCs w:val="22"/>
        </w:rPr>
        <w:t xml:space="preserve">shorter than half symbol </w:t>
      </w:r>
      <w:r w:rsidR="00F03418">
        <w:rPr>
          <w:sz w:val="22"/>
          <w:szCs w:val="22"/>
        </w:rPr>
        <w:t xml:space="preserve">for </w:t>
      </w:r>
      <w:r w:rsidR="007976ED">
        <w:rPr>
          <w:sz w:val="22"/>
          <w:szCs w:val="22"/>
        </w:rPr>
        <w:t>15 kHz</w:t>
      </w:r>
      <w:r w:rsidR="00F03418">
        <w:rPr>
          <w:sz w:val="22"/>
          <w:szCs w:val="22"/>
        </w:rPr>
        <w:t xml:space="preserve"> and </w:t>
      </w:r>
      <w:r w:rsidR="007976ED">
        <w:rPr>
          <w:sz w:val="22"/>
          <w:szCs w:val="22"/>
        </w:rPr>
        <w:t>30 kHz</w:t>
      </w:r>
      <w:r w:rsidR="00A10047">
        <w:rPr>
          <w:sz w:val="22"/>
          <w:szCs w:val="22"/>
        </w:rPr>
        <w:t xml:space="preserve"> SCS</w:t>
      </w:r>
      <w:r w:rsidR="00D92AAD">
        <w:rPr>
          <w:sz w:val="22"/>
          <w:szCs w:val="22"/>
        </w:rPr>
        <w:t xml:space="preserve">. </w:t>
      </w:r>
      <w:r w:rsidR="00A10047">
        <w:rPr>
          <w:sz w:val="22"/>
          <w:szCs w:val="22"/>
        </w:rPr>
        <w:t xml:space="preserve">Hence, for </w:t>
      </w:r>
      <w:proofErr w:type="gramStart"/>
      <w:r w:rsidR="00A10047">
        <w:rPr>
          <w:sz w:val="22"/>
          <w:szCs w:val="22"/>
        </w:rPr>
        <w:t>15kHz</w:t>
      </w:r>
      <w:proofErr w:type="gramEnd"/>
      <w:r w:rsidR="00A10047">
        <w:rPr>
          <w:sz w:val="22"/>
          <w:szCs w:val="22"/>
        </w:rPr>
        <w:t xml:space="preserve"> and 30kHz SCS, </w:t>
      </w:r>
      <w:r w:rsidR="00877685">
        <w:rPr>
          <w:sz w:val="22"/>
          <w:szCs w:val="22"/>
        </w:rPr>
        <w:t xml:space="preserve">there is possibility to </w:t>
      </w:r>
      <w:r w:rsidR="00D92AAD">
        <w:rPr>
          <w:sz w:val="22"/>
          <w:szCs w:val="22"/>
        </w:rPr>
        <w:t xml:space="preserve">further </w:t>
      </w:r>
      <w:r w:rsidR="00877685">
        <w:rPr>
          <w:sz w:val="22"/>
          <w:szCs w:val="22"/>
        </w:rPr>
        <w:t xml:space="preserve">reduce the overhead of AGC and gap in NR V2X. </w:t>
      </w:r>
    </w:p>
    <w:p w14:paraId="3B9CFC7B" w14:textId="00F20EB1" w:rsidR="008D5B47" w:rsidRDefault="008D5B47" w:rsidP="00045E57">
      <w:pPr>
        <w:jc w:val="both"/>
        <w:rPr>
          <w:sz w:val="22"/>
          <w:szCs w:val="22"/>
        </w:rPr>
      </w:pPr>
    </w:p>
    <w:p w14:paraId="612A5758" w14:textId="4995C055" w:rsidR="008D5B47" w:rsidRDefault="00C03D8C" w:rsidP="00045E57">
      <w:pPr>
        <w:jc w:val="both"/>
        <w:rPr>
          <w:sz w:val="22"/>
          <w:szCs w:val="22"/>
        </w:rPr>
      </w:pPr>
      <w:r>
        <w:rPr>
          <w:sz w:val="22"/>
          <w:szCs w:val="22"/>
        </w:rPr>
        <w:t xml:space="preserve">In case of the </w:t>
      </w:r>
      <w:r w:rsidRPr="00C03D8C">
        <w:rPr>
          <w:sz w:val="22"/>
          <w:szCs w:val="22"/>
        </w:rPr>
        <w:t xml:space="preserve">duration of one symbol is longer than the time for AGC settling plus the time for </w:t>
      </w:r>
      <w:proofErr w:type="spellStart"/>
      <w:r w:rsidRPr="00C03D8C">
        <w:rPr>
          <w:sz w:val="22"/>
          <w:szCs w:val="22"/>
        </w:rPr>
        <w:t>Tx</w:t>
      </w:r>
      <w:proofErr w:type="spellEnd"/>
      <w:r w:rsidRPr="00C03D8C">
        <w:rPr>
          <w:sz w:val="22"/>
          <w:szCs w:val="22"/>
        </w:rPr>
        <w:t>/Rx switching</w:t>
      </w:r>
      <w:r>
        <w:rPr>
          <w:sz w:val="22"/>
          <w:szCs w:val="22"/>
        </w:rPr>
        <w:t xml:space="preserve">, one example for AGC settling and </w:t>
      </w:r>
      <w:proofErr w:type="spellStart"/>
      <w:r>
        <w:rPr>
          <w:sz w:val="22"/>
          <w:szCs w:val="22"/>
        </w:rPr>
        <w:t>Tx</w:t>
      </w:r>
      <w:proofErr w:type="spellEnd"/>
      <w:r>
        <w:rPr>
          <w:sz w:val="22"/>
          <w:szCs w:val="22"/>
        </w:rPr>
        <w:t>/Rx switching is given in Figure 2. A</w:t>
      </w:r>
      <w:r w:rsidR="00F9731C">
        <w:rPr>
          <w:sz w:val="22"/>
          <w:szCs w:val="22"/>
        </w:rPr>
        <w:t>s</w:t>
      </w:r>
      <w:r w:rsidR="008D5B47">
        <w:rPr>
          <w:sz w:val="22"/>
          <w:szCs w:val="22"/>
        </w:rPr>
        <w:t xml:space="preserve"> </w:t>
      </w:r>
      <w:proofErr w:type="spellStart"/>
      <w:r w:rsidR="008D5B47">
        <w:rPr>
          <w:sz w:val="22"/>
          <w:szCs w:val="22"/>
        </w:rPr>
        <w:t>Tx</w:t>
      </w:r>
      <w:proofErr w:type="spellEnd"/>
      <w:r w:rsidR="008D5B47">
        <w:rPr>
          <w:sz w:val="22"/>
          <w:szCs w:val="22"/>
        </w:rPr>
        <w:t xml:space="preserve">/Rx switching </w:t>
      </w:r>
      <w:r w:rsidR="004B1C50">
        <w:rPr>
          <w:sz w:val="22"/>
          <w:szCs w:val="22"/>
        </w:rPr>
        <w:t>is</w:t>
      </w:r>
      <w:r w:rsidR="008D5B47">
        <w:rPr>
          <w:sz w:val="22"/>
          <w:szCs w:val="22"/>
        </w:rPr>
        <w:t xml:space="preserve"> only necessary for the UE switching Tx/Rx behavior </w:t>
      </w:r>
      <w:r w:rsidR="004B1C50">
        <w:rPr>
          <w:sz w:val="22"/>
          <w:szCs w:val="22"/>
        </w:rPr>
        <w:t xml:space="preserve">in </w:t>
      </w:r>
      <w:r w:rsidR="00DD53B7">
        <w:rPr>
          <w:sz w:val="22"/>
          <w:szCs w:val="22"/>
        </w:rPr>
        <w:t>next slot</w:t>
      </w:r>
      <w:r w:rsidR="008D5B47">
        <w:rPr>
          <w:sz w:val="22"/>
          <w:szCs w:val="22"/>
        </w:rPr>
        <w:t>, there is no gap</w:t>
      </w:r>
      <w:r>
        <w:rPr>
          <w:sz w:val="22"/>
          <w:szCs w:val="22"/>
        </w:rPr>
        <w:t xml:space="preserve"> for </w:t>
      </w:r>
      <w:proofErr w:type="spellStart"/>
      <w:r>
        <w:rPr>
          <w:sz w:val="22"/>
          <w:szCs w:val="22"/>
        </w:rPr>
        <w:t>Tx</w:t>
      </w:r>
      <w:proofErr w:type="spellEnd"/>
      <w:r>
        <w:rPr>
          <w:sz w:val="22"/>
          <w:szCs w:val="22"/>
        </w:rPr>
        <w:t>/Rx switching</w:t>
      </w:r>
      <w:r w:rsidR="008D5B47">
        <w:rPr>
          <w:sz w:val="22"/>
          <w:szCs w:val="22"/>
        </w:rPr>
        <w:t xml:space="preserve"> from system point of view</w:t>
      </w:r>
      <w:r w:rsidR="004B1C50">
        <w:rPr>
          <w:sz w:val="22"/>
          <w:szCs w:val="22"/>
        </w:rPr>
        <w:t>.</w:t>
      </w:r>
      <w:r w:rsidR="008D5B47">
        <w:rPr>
          <w:sz w:val="22"/>
          <w:szCs w:val="22"/>
        </w:rPr>
        <w:t xml:space="preserve"> </w:t>
      </w:r>
      <w:r>
        <w:rPr>
          <w:sz w:val="22"/>
          <w:szCs w:val="22"/>
        </w:rPr>
        <w:t>For</w:t>
      </w:r>
      <w:r w:rsidR="004B1C50">
        <w:rPr>
          <w:sz w:val="22"/>
          <w:szCs w:val="22"/>
        </w:rPr>
        <w:t xml:space="preserve"> a UE is transmitting in the current slot and going to receiving in the next slot, it can perform Tx to Rx switching at the beginning of the next slot</w:t>
      </w:r>
      <w:r w:rsidR="00F9731C">
        <w:rPr>
          <w:sz w:val="22"/>
          <w:szCs w:val="22"/>
        </w:rPr>
        <w:t>, and then use the remaining part of the first symbol for AGC settling. O</w:t>
      </w:r>
      <w:r w:rsidR="004B1C50">
        <w:rPr>
          <w:sz w:val="22"/>
          <w:szCs w:val="22"/>
        </w:rPr>
        <w:t xml:space="preserve">n the contrary, if the UE is receiving at the current slot and going to transmitting in the next slot, if can perform the Rx to </w:t>
      </w:r>
      <w:proofErr w:type="gramStart"/>
      <w:r w:rsidR="004B1C50">
        <w:rPr>
          <w:sz w:val="22"/>
          <w:szCs w:val="22"/>
        </w:rPr>
        <w:t>Tx</w:t>
      </w:r>
      <w:proofErr w:type="gramEnd"/>
      <w:r w:rsidR="004B1C50">
        <w:rPr>
          <w:sz w:val="22"/>
          <w:szCs w:val="22"/>
        </w:rPr>
        <w:t xml:space="preserve"> switching at the end of the current slot. </w:t>
      </w:r>
      <w:r w:rsidR="007976ED">
        <w:rPr>
          <w:sz w:val="22"/>
          <w:szCs w:val="22"/>
        </w:rPr>
        <w:t xml:space="preserve">For a UE receiving continuously, it only needs to settle AGC at the beginning of the first symbol. </w:t>
      </w:r>
      <w:r w:rsidR="00F9731C">
        <w:rPr>
          <w:sz w:val="22"/>
          <w:szCs w:val="22"/>
        </w:rPr>
        <w:t>In this way</w:t>
      </w:r>
      <w:r w:rsidR="004B1C50">
        <w:rPr>
          <w:sz w:val="22"/>
          <w:szCs w:val="22"/>
        </w:rPr>
        <w:t>,</w:t>
      </w:r>
      <w:r w:rsidR="008D5B47">
        <w:rPr>
          <w:sz w:val="22"/>
          <w:szCs w:val="22"/>
        </w:rPr>
        <w:t xml:space="preserve"> all symbols </w:t>
      </w:r>
      <w:r w:rsidR="00F9731C">
        <w:rPr>
          <w:sz w:val="22"/>
          <w:szCs w:val="22"/>
        </w:rPr>
        <w:t>in a slo</w:t>
      </w:r>
      <w:r w:rsidR="00DD3389">
        <w:rPr>
          <w:sz w:val="22"/>
          <w:szCs w:val="22"/>
        </w:rPr>
        <w:t>t can be used for transmission.</w:t>
      </w:r>
    </w:p>
    <w:p w14:paraId="7719FA82" w14:textId="5A691785" w:rsidR="000731DA" w:rsidRDefault="000731DA" w:rsidP="00045E57">
      <w:pPr>
        <w:jc w:val="both"/>
        <w:rPr>
          <w:sz w:val="22"/>
          <w:szCs w:val="22"/>
        </w:rPr>
      </w:pPr>
    </w:p>
    <w:p w14:paraId="0CB81D9D" w14:textId="05159DDD" w:rsidR="000731DA" w:rsidRDefault="000731DA" w:rsidP="00045E57">
      <w:pPr>
        <w:jc w:val="both"/>
        <w:rPr>
          <w:sz w:val="22"/>
          <w:szCs w:val="22"/>
        </w:rPr>
      </w:pPr>
      <w:r>
        <w:rPr>
          <w:sz w:val="22"/>
          <w:szCs w:val="22"/>
        </w:rPr>
        <w:t xml:space="preserve">In case of the duration of one symbol cannot accommodate both AGC and </w:t>
      </w:r>
      <w:proofErr w:type="spellStart"/>
      <w:r>
        <w:rPr>
          <w:sz w:val="22"/>
          <w:szCs w:val="22"/>
        </w:rPr>
        <w:t>Tx</w:t>
      </w:r>
      <w:proofErr w:type="spellEnd"/>
      <w:r>
        <w:rPr>
          <w:sz w:val="22"/>
          <w:szCs w:val="22"/>
        </w:rPr>
        <w:t xml:space="preserve">/Rx switching, LTE sidelink design can be reused, i.e. reserving one symbol for AGC and </w:t>
      </w:r>
      <w:proofErr w:type="spellStart"/>
      <w:r>
        <w:rPr>
          <w:sz w:val="22"/>
          <w:szCs w:val="22"/>
        </w:rPr>
        <w:t>Tx</w:t>
      </w:r>
      <w:proofErr w:type="spellEnd"/>
      <w:r>
        <w:rPr>
          <w:sz w:val="22"/>
          <w:szCs w:val="22"/>
        </w:rPr>
        <w:t>/Rx switching respectively.</w:t>
      </w:r>
    </w:p>
    <w:p w14:paraId="1874829E" w14:textId="77777777" w:rsidR="000731DA" w:rsidRDefault="000731DA" w:rsidP="00045E57">
      <w:pPr>
        <w:jc w:val="both"/>
        <w:rPr>
          <w:sz w:val="22"/>
          <w:szCs w:val="22"/>
        </w:rPr>
      </w:pPr>
    </w:p>
    <w:p w14:paraId="14489862" w14:textId="218CDC2D" w:rsidR="00F10B2A" w:rsidRDefault="00F10B2A" w:rsidP="00045E57">
      <w:pPr>
        <w:jc w:val="both"/>
        <w:rPr>
          <w:sz w:val="22"/>
          <w:szCs w:val="22"/>
        </w:rPr>
      </w:pPr>
      <w:r>
        <w:rPr>
          <w:sz w:val="22"/>
          <w:szCs w:val="22"/>
        </w:rPr>
        <w:t>Furthermore, as not all UE</w:t>
      </w:r>
      <w:r w:rsidR="00423D20">
        <w:rPr>
          <w:sz w:val="22"/>
          <w:szCs w:val="22"/>
        </w:rPr>
        <w:t>s need</w:t>
      </w:r>
      <w:r>
        <w:rPr>
          <w:sz w:val="22"/>
          <w:szCs w:val="22"/>
        </w:rPr>
        <w:t xml:space="preserve"> to settle AGC at the beginning of a slot, in another word, some UE is capable to receive and decoding the first symbol, it is beneficial to transmit data or control information rather than a</w:t>
      </w:r>
      <w:r w:rsidR="00423D20">
        <w:rPr>
          <w:sz w:val="22"/>
          <w:szCs w:val="22"/>
        </w:rPr>
        <w:t>n</w:t>
      </w:r>
      <w:r>
        <w:rPr>
          <w:sz w:val="22"/>
          <w:szCs w:val="22"/>
        </w:rPr>
        <w:t xml:space="preserve"> AGC signal in the first symbol.</w:t>
      </w:r>
    </w:p>
    <w:p w14:paraId="1BD75BDD" w14:textId="5CD47047" w:rsidR="004D3507" w:rsidRDefault="004D3507" w:rsidP="00045E57">
      <w:pPr>
        <w:jc w:val="both"/>
        <w:rPr>
          <w:sz w:val="22"/>
          <w:szCs w:val="22"/>
        </w:rPr>
      </w:pPr>
    </w:p>
    <w:p w14:paraId="5CE43353" w14:textId="0C5F5512" w:rsidR="004D3507" w:rsidRDefault="00DD53B7" w:rsidP="00DD53B7">
      <w:pPr>
        <w:jc w:val="center"/>
      </w:pPr>
      <w:r>
        <w:object w:dxaOrig="13111" w:dyaOrig="4731" w14:anchorId="25943508">
          <v:shape id="_x0000_i1026" type="#_x0000_t75" style="width:451.1pt;height:163.1pt" o:ole="">
            <v:imagedata r:id="rId10" o:title=""/>
          </v:shape>
          <o:OLEObject Type="Embed" ProgID="Visio.Drawing.15" ShapeID="_x0000_i1026" DrawAspect="Content" ObjectID="_1602655706" r:id="rId11"/>
        </w:object>
      </w:r>
    </w:p>
    <w:p w14:paraId="1A53FD30" w14:textId="4BCF91CD" w:rsidR="00DD53B7" w:rsidRPr="00045E57" w:rsidRDefault="005B50E8" w:rsidP="00DD53B7">
      <w:pPr>
        <w:jc w:val="center"/>
        <w:rPr>
          <w:sz w:val="22"/>
          <w:szCs w:val="22"/>
        </w:rPr>
      </w:pPr>
      <w:r w:rsidRPr="00D53716">
        <w:rPr>
          <w:b/>
          <w:sz w:val="22"/>
          <w:szCs w:val="22"/>
        </w:rPr>
        <w:t xml:space="preserve">Figure </w:t>
      </w:r>
      <w:r>
        <w:rPr>
          <w:b/>
          <w:sz w:val="22"/>
          <w:szCs w:val="22"/>
        </w:rPr>
        <w:t>2</w:t>
      </w:r>
      <w:r w:rsidRPr="00D53716">
        <w:rPr>
          <w:b/>
          <w:sz w:val="22"/>
          <w:szCs w:val="22"/>
        </w:rPr>
        <w:t xml:space="preserve"> </w:t>
      </w:r>
      <w:r w:rsidR="00C83CF4">
        <w:rPr>
          <w:b/>
          <w:sz w:val="22"/>
          <w:szCs w:val="22"/>
        </w:rPr>
        <w:t>AGC and</w:t>
      </w:r>
      <w:r w:rsidR="006E7C23">
        <w:rPr>
          <w:b/>
          <w:sz w:val="22"/>
          <w:szCs w:val="22"/>
        </w:rPr>
        <w:t>/or</w:t>
      </w:r>
      <w:r w:rsidR="00C83CF4">
        <w:rPr>
          <w:b/>
          <w:sz w:val="22"/>
          <w:szCs w:val="22"/>
        </w:rPr>
        <w:t xml:space="preserve"> </w:t>
      </w:r>
      <w:proofErr w:type="spellStart"/>
      <w:r w:rsidR="00C83CF4">
        <w:rPr>
          <w:b/>
          <w:sz w:val="22"/>
          <w:szCs w:val="22"/>
        </w:rPr>
        <w:t>Tx</w:t>
      </w:r>
      <w:proofErr w:type="spellEnd"/>
      <w:r w:rsidR="00C83CF4">
        <w:rPr>
          <w:b/>
          <w:sz w:val="22"/>
          <w:szCs w:val="22"/>
        </w:rPr>
        <w:t xml:space="preserve">/Rx switching time for a UE switching from </w:t>
      </w:r>
      <w:proofErr w:type="spellStart"/>
      <w:proofErr w:type="gramStart"/>
      <w:r w:rsidR="00C83CF4">
        <w:rPr>
          <w:b/>
          <w:sz w:val="22"/>
          <w:szCs w:val="22"/>
        </w:rPr>
        <w:t>Tx</w:t>
      </w:r>
      <w:proofErr w:type="spellEnd"/>
      <w:proofErr w:type="gramEnd"/>
      <w:r w:rsidR="00C83CF4">
        <w:rPr>
          <w:b/>
          <w:sz w:val="22"/>
          <w:szCs w:val="22"/>
        </w:rPr>
        <w:t xml:space="preserve"> to Rx, for a switching from Rx to </w:t>
      </w:r>
      <w:proofErr w:type="spellStart"/>
      <w:r w:rsidR="00C83CF4">
        <w:rPr>
          <w:b/>
          <w:sz w:val="22"/>
          <w:szCs w:val="22"/>
        </w:rPr>
        <w:t>Tx</w:t>
      </w:r>
      <w:proofErr w:type="spellEnd"/>
      <w:r w:rsidR="00C83CF4">
        <w:rPr>
          <w:b/>
          <w:sz w:val="22"/>
          <w:szCs w:val="22"/>
        </w:rPr>
        <w:t>, and for a UE receiving continuously</w:t>
      </w:r>
    </w:p>
    <w:p w14:paraId="5C300BF4" w14:textId="0C734113" w:rsidR="00455BE8" w:rsidRDefault="00455BE8" w:rsidP="00A22626">
      <w:pPr>
        <w:spacing w:before="240" w:after="60"/>
        <w:jc w:val="both"/>
        <w:rPr>
          <w:b/>
          <w:i/>
          <w:sz w:val="22"/>
          <w:szCs w:val="22"/>
        </w:rPr>
      </w:pPr>
      <w:r>
        <w:rPr>
          <w:b/>
          <w:i/>
          <w:sz w:val="22"/>
          <w:szCs w:val="22"/>
        </w:rPr>
        <w:t>Observation 1:</w:t>
      </w:r>
    </w:p>
    <w:p w14:paraId="3C943EE2" w14:textId="47498635" w:rsidR="00455BE8" w:rsidRPr="00455BE8" w:rsidRDefault="00455BE8" w:rsidP="00376394">
      <w:pPr>
        <w:pStyle w:val="a5"/>
        <w:numPr>
          <w:ilvl w:val="0"/>
          <w:numId w:val="4"/>
        </w:numPr>
        <w:jc w:val="both"/>
        <w:rPr>
          <w:rFonts w:ascii="Times New Roman" w:hAnsi="Times New Roman"/>
          <w:b/>
          <w:i/>
        </w:rPr>
      </w:pPr>
      <w:r w:rsidRPr="00455BE8">
        <w:rPr>
          <w:rFonts w:ascii="Times New Roman" w:hAnsi="Times New Roman"/>
          <w:b/>
          <w:i/>
        </w:rPr>
        <w:lastRenderedPageBreak/>
        <w:t xml:space="preserve">Tx/Rx switching time is only necessary for a UE switching </w:t>
      </w:r>
      <w:proofErr w:type="spellStart"/>
      <w:r w:rsidRPr="00455BE8">
        <w:rPr>
          <w:rFonts w:ascii="Times New Roman" w:hAnsi="Times New Roman"/>
          <w:b/>
          <w:i/>
        </w:rPr>
        <w:t>Tx</w:t>
      </w:r>
      <w:proofErr w:type="spellEnd"/>
      <w:r w:rsidRPr="00455BE8">
        <w:rPr>
          <w:rFonts w:ascii="Times New Roman" w:hAnsi="Times New Roman"/>
          <w:b/>
          <w:i/>
        </w:rPr>
        <w:t xml:space="preserve">/Rx </w:t>
      </w:r>
      <w:r w:rsidR="0013456C" w:rsidRPr="00455BE8">
        <w:rPr>
          <w:rFonts w:ascii="Times New Roman" w:hAnsi="Times New Roman"/>
          <w:b/>
          <w:i/>
        </w:rPr>
        <w:t>be</w:t>
      </w:r>
      <w:r w:rsidR="0013456C">
        <w:rPr>
          <w:rFonts w:ascii="Times New Roman" w:hAnsi="Times New Roman"/>
          <w:b/>
          <w:i/>
        </w:rPr>
        <w:t>haviour</w:t>
      </w:r>
      <w:r w:rsidR="002F4AF4">
        <w:rPr>
          <w:rFonts w:ascii="Times New Roman" w:hAnsi="Times New Roman"/>
          <w:b/>
          <w:i/>
        </w:rPr>
        <w:t xml:space="preserve"> in </w:t>
      </w:r>
      <w:r w:rsidR="0013456C">
        <w:rPr>
          <w:rFonts w:ascii="Times New Roman" w:hAnsi="Times New Roman"/>
          <w:b/>
          <w:i/>
        </w:rPr>
        <w:t xml:space="preserve">the next slot, </w:t>
      </w:r>
      <w:r w:rsidR="00376394">
        <w:rPr>
          <w:rFonts w:ascii="Times New Roman" w:hAnsi="Times New Roman"/>
          <w:b/>
          <w:i/>
        </w:rPr>
        <w:t xml:space="preserve">in case of </w:t>
      </w:r>
      <w:r w:rsidR="00376394" w:rsidRPr="00376394">
        <w:rPr>
          <w:rFonts w:ascii="Times New Roman" w:hAnsi="Times New Roman"/>
          <w:b/>
          <w:i/>
        </w:rPr>
        <w:t xml:space="preserve">the duration of one symbol is longer than </w:t>
      </w:r>
      <w:r w:rsidR="00376394">
        <w:rPr>
          <w:rFonts w:ascii="Times New Roman" w:hAnsi="Times New Roman"/>
          <w:b/>
          <w:i/>
        </w:rPr>
        <w:t xml:space="preserve">the time for </w:t>
      </w:r>
      <w:r w:rsidR="00376394" w:rsidRPr="00376394">
        <w:rPr>
          <w:rFonts w:ascii="Times New Roman" w:hAnsi="Times New Roman"/>
          <w:b/>
          <w:i/>
        </w:rPr>
        <w:t xml:space="preserve">AGC plus the time for </w:t>
      </w:r>
      <w:proofErr w:type="spellStart"/>
      <w:r w:rsidR="00376394" w:rsidRPr="00376394">
        <w:rPr>
          <w:rFonts w:ascii="Times New Roman" w:hAnsi="Times New Roman"/>
          <w:b/>
          <w:i/>
        </w:rPr>
        <w:t>Tx</w:t>
      </w:r>
      <w:proofErr w:type="spellEnd"/>
      <w:r w:rsidR="00376394" w:rsidRPr="00376394">
        <w:rPr>
          <w:rFonts w:ascii="Times New Roman" w:hAnsi="Times New Roman"/>
          <w:b/>
          <w:i/>
        </w:rPr>
        <w:t>/Rx switching,</w:t>
      </w:r>
      <w:r w:rsidR="00376394">
        <w:rPr>
          <w:rFonts w:ascii="Times New Roman" w:hAnsi="Times New Roman"/>
          <w:b/>
          <w:i/>
        </w:rPr>
        <w:t xml:space="preserve"> </w:t>
      </w:r>
      <w:r w:rsidR="002F4AF4">
        <w:rPr>
          <w:rFonts w:ascii="Times New Roman" w:hAnsi="Times New Roman"/>
          <w:b/>
          <w:i/>
        </w:rPr>
        <w:t>there is no need to configure system gap for Tx/Rx switching;</w:t>
      </w:r>
    </w:p>
    <w:p w14:paraId="7DFF4723" w14:textId="77777777" w:rsidR="00A22626" w:rsidRPr="006055AB" w:rsidRDefault="00A22626" w:rsidP="005D0863">
      <w:pPr>
        <w:jc w:val="both"/>
        <w:rPr>
          <w:sz w:val="22"/>
          <w:szCs w:val="22"/>
          <w:lang w:val="en-AU"/>
        </w:rPr>
      </w:pPr>
    </w:p>
    <w:p w14:paraId="306AE458" w14:textId="294CFE35" w:rsidR="00BA072C" w:rsidRPr="00BA072C" w:rsidRDefault="00E96E99" w:rsidP="00BA072C">
      <w:pPr>
        <w:spacing w:before="240" w:after="120"/>
        <w:jc w:val="both"/>
        <w:rPr>
          <w:b/>
          <w:u w:val="single"/>
        </w:rPr>
      </w:pPr>
      <w:r>
        <w:rPr>
          <w:b/>
          <w:u w:val="single"/>
        </w:rPr>
        <w:t>Resource pool and BWP</w:t>
      </w:r>
    </w:p>
    <w:p w14:paraId="4FAEAC0E" w14:textId="2DFD1F29" w:rsidR="00BA072C" w:rsidRDefault="00C87ECC" w:rsidP="009C649F">
      <w:pPr>
        <w:jc w:val="both"/>
        <w:rPr>
          <w:sz w:val="22"/>
          <w:szCs w:val="22"/>
        </w:rPr>
      </w:pPr>
      <w:r>
        <w:rPr>
          <w:sz w:val="22"/>
          <w:szCs w:val="22"/>
        </w:rPr>
        <w:t>In NR Uu, UE radio capability may be defined per BWP, and different BWP may be configured with different numerolog</w:t>
      </w:r>
      <w:r w:rsidR="00B868B7">
        <w:rPr>
          <w:sz w:val="22"/>
          <w:szCs w:val="22"/>
        </w:rPr>
        <w:t>ies</w:t>
      </w:r>
      <w:r w:rsidR="009A7AA7">
        <w:rPr>
          <w:sz w:val="22"/>
          <w:szCs w:val="22"/>
        </w:rPr>
        <w:t>.</w:t>
      </w:r>
      <w:r>
        <w:rPr>
          <w:sz w:val="22"/>
          <w:szCs w:val="22"/>
        </w:rPr>
        <w:t xml:space="preserve"> As carrier bandwidth of NR sidelink may also be larger than the radio capability of a UE, from this point of view, to support BWP on sidelink is beneficial such that the radio capability defined per BWP in NR Uu can be reused for NR sidelink. However, different from NR Uu, UE may need to receive all </w:t>
      </w:r>
      <w:r w:rsidR="001D41A5">
        <w:rPr>
          <w:sz w:val="22"/>
          <w:szCs w:val="22"/>
        </w:rPr>
        <w:t xml:space="preserve">interested </w:t>
      </w:r>
      <w:r>
        <w:rPr>
          <w:sz w:val="22"/>
          <w:szCs w:val="22"/>
        </w:rPr>
        <w:t>transmission</w:t>
      </w:r>
      <w:r w:rsidR="001D41A5">
        <w:rPr>
          <w:sz w:val="22"/>
          <w:szCs w:val="22"/>
        </w:rPr>
        <w:t>s, and these transmissions may occur on different BWPs (if supported) of a carrier, if the numerology of different BWPs are not the same, this can force the UE to receive multiple numerologies on a carrier. Hence, if multiple BWPs are configured on a carrier, the numerology of all these BWPs should be the same.</w:t>
      </w:r>
    </w:p>
    <w:p w14:paraId="72C0F657" w14:textId="49B9C94D" w:rsidR="001D41A5" w:rsidRDefault="001D41A5" w:rsidP="009C649F">
      <w:pPr>
        <w:jc w:val="both"/>
        <w:rPr>
          <w:sz w:val="22"/>
          <w:szCs w:val="22"/>
        </w:rPr>
      </w:pPr>
    </w:p>
    <w:p w14:paraId="776C697C" w14:textId="7953E340" w:rsidR="001D41A5" w:rsidRDefault="001D41A5" w:rsidP="009C649F">
      <w:pPr>
        <w:jc w:val="both"/>
        <w:rPr>
          <w:sz w:val="22"/>
          <w:szCs w:val="22"/>
        </w:rPr>
      </w:pPr>
      <w:r>
        <w:rPr>
          <w:sz w:val="22"/>
          <w:szCs w:val="22"/>
        </w:rPr>
        <w:t xml:space="preserve">On the other hand, if BWP is configured on a carrier, it can be used as frequency domain reference for resource pool configuration, i.e. a resource pool is constrained within one BWP. </w:t>
      </w:r>
    </w:p>
    <w:p w14:paraId="5C283424" w14:textId="445883EB" w:rsidR="00BD28E8" w:rsidRPr="006055AB" w:rsidRDefault="00BD28E8" w:rsidP="00BD28E8">
      <w:pPr>
        <w:spacing w:before="240" w:after="60"/>
        <w:jc w:val="both"/>
        <w:rPr>
          <w:b/>
          <w:i/>
          <w:sz w:val="22"/>
          <w:szCs w:val="22"/>
        </w:rPr>
      </w:pPr>
      <w:r w:rsidRPr="006055AB">
        <w:rPr>
          <w:b/>
          <w:i/>
          <w:sz w:val="22"/>
          <w:szCs w:val="22"/>
        </w:rPr>
        <w:t xml:space="preserve">Proposal </w:t>
      </w:r>
      <w:r w:rsidR="00D079C0">
        <w:rPr>
          <w:b/>
          <w:i/>
          <w:sz w:val="22"/>
          <w:szCs w:val="22"/>
        </w:rPr>
        <w:t>4</w:t>
      </w:r>
      <w:r w:rsidRPr="006055AB">
        <w:rPr>
          <w:b/>
          <w:i/>
          <w:sz w:val="22"/>
          <w:szCs w:val="22"/>
        </w:rPr>
        <w:t xml:space="preserve">: </w:t>
      </w:r>
    </w:p>
    <w:p w14:paraId="0D653AD3" w14:textId="305AC5C9" w:rsidR="00BD28E8" w:rsidRDefault="00FB51B0" w:rsidP="00946724">
      <w:pPr>
        <w:pStyle w:val="a5"/>
        <w:numPr>
          <w:ilvl w:val="0"/>
          <w:numId w:val="4"/>
        </w:numPr>
        <w:jc w:val="both"/>
        <w:rPr>
          <w:rFonts w:ascii="Times New Roman" w:hAnsi="Times New Roman"/>
          <w:b/>
          <w:i/>
        </w:rPr>
      </w:pPr>
      <w:r>
        <w:rPr>
          <w:rFonts w:ascii="Times New Roman" w:hAnsi="Times New Roman"/>
          <w:b/>
          <w:i/>
        </w:rPr>
        <w:t>BWP is supported for NR sidelink with a restriction that SCS for all BWPs on a carrier are the same;</w:t>
      </w:r>
    </w:p>
    <w:p w14:paraId="25626F90" w14:textId="729C9451" w:rsidR="00FB51B0" w:rsidRPr="006055AB" w:rsidRDefault="00FB51B0" w:rsidP="00946724">
      <w:pPr>
        <w:pStyle w:val="a5"/>
        <w:numPr>
          <w:ilvl w:val="0"/>
          <w:numId w:val="4"/>
        </w:numPr>
        <w:jc w:val="both"/>
        <w:rPr>
          <w:rFonts w:ascii="Times New Roman" w:hAnsi="Times New Roman"/>
          <w:b/>
          <w:i/>
        </w:rPr>
      </w:pPr>
      <w:r>
        <w:rPr>
          <w:rFonts w:ascii="Times New Roman" w:hAnsi="Times New Roman"/>
          <w:b/>
          <w:i/>
        </w:rPr>
        <w:t>Resource pool should be constrained within one BWP if BWP is configured;</w:t>
      </w:r>
    </w:p>
    <w:p w14:paraId="3517FA8C" w14:textId="77777777" w:rsidR="00BD28E8" w:rsidRPr="00BD28E8" w:rsidRDefault="00BD28E8" w:rsidP="009C649F">
      <w:pPr>
        <w:jc w:val="both"/>
        <w:rPr>
          <w:sz w:val="22"/>
          <w:szCs w:val="22"/>
          <w:lang w:val="en-AU"/>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Conclusion</w:t>
      </w:r>
    </w:p>
    <w:p w14:paraId="72D7FC9B" w14:textId="5677ABF1" w:rsidR="006A79F4" w:rsidRPr="006055AB" w:rsidRDefault="00281DDE" w:rsidP="006A79F4">
      <w:pPr>
        <w:jc w:val="both"/>
        <w:rPr>
          <w:sz w:val="22"/>
          <w:szCs w:val="22"/>
        </w:rPr>
      </w:pPr>
      <w:r>
        <w:rPr>
          <w:sz w:val="22"/>
          <w:szCs w:val="22"/>
        </w:rPr>
        <w:t>In this contribution</w:t>
      </w:r>
      <w:r w:rsidR="0037617D" w:rsidRPr="006055AB">
        <w:rPr>
          <w:sz w:val="22"/>
          <w:szCs w:val="22"/>
        </w:rPr>
        <w:t>, we discuss</w:t>
      </w:r>
      <w:r w:rsidR="0037617D">
        <w:rPr>
          <w:sz w:val="22"/>
          <w:szCs w:val="22"/>
        </w:rPr>
        <w:t>ed</w:t>
      </w:r>
      <w:r w:rsidR="0037617D" w:rsidRPr="006055AB">
        <w:rPr>
          <w:sz w:val="22"/>
          <w:szCs w:val="22"/>
        </w:rPr>
        <w:t xml:space="preserve"> the issues </w:t>
      </w:r>
      <w:r>
        <w:rPr>
          <w:sz w:val="22"/>
          <w:szCs w:val="22"/>
        </w:rPr>
        <w:t>related to physical layer strucure</w:t>
      </w:r>
      <w:r w:rsidR="0037617D" w:rsidRPr="006055AB">
        <w:rPr>
          <w:sz w:val="22"/>
          <w:szCs w:val="22"/>
        </w:rPr>
        <w:t xml:space="preserve"> in NR-V2X</w:t>
      </w:r>
      <w:r w:rsidR="0037617D">
        <w:rPr>
          <w:sz w:val="22"/>
          <w:szCs w:val="22"/>
        </w:rPr>
        <w:t xml:space="preserve">, </w:t>
      </w:r>
      <w:r w:rsidR="006A79F4" w:rsidRPr="006055AB">
        <w:rPr>
          <w:sz w:val="22"/>
          <w:szCs w:val="22"/>
        </w:rPr>
        <w:t xml:space="preserve">we have following </w:t>
      </w:r>
      <w:r>
        <w:rPr>
          <w:sz w:val="22"/>
          <w:szCs w:val="22"/>
        </w:rPr>
        <w:t xml:space="preserve">observation and </w:t>
      </w:r>
      <w:r w:rsidR="006A79F4" w:rsidRPr="006055AB">
        <w:rPr>
          <w:sz w:val="22"/>
          <w:szCs w:val="22"/>
        </w:rPr>
        <w:t>proposals:</w:t>
      </w:r>
    </w:p>
    <w:p w14:paraId="173C13D1" w14:textId="77777777" w:rsidR="006A79F4" w:rsidRPr="006055AB" w:rsidRDefault="006A79F4" w:rsidP="006A79F4">
      <w:pPr>
        <w:jc w:val="both"/>
        <w:rPr>
          <w:sz w:val="22"/>
          <w:szCs w:val="22"/>
        </w:rPr>
      </w:pPr>
    </w:p>
    <w:p w14:paraId="50A827A3" w14:textId="77777777" w:rsidR="00281DDE" w:rsidRDefault="00281DDE" w:rsidP="00281DDE">
      <w:pPr>
        <w:spacing w:before="240" w:after="60"/>
        <w:jc w:val="both"/>
        <w:rPr>
          <w:b/>
          <w:i/>
          <w:sz w:val="22"/>
          <w:szCs w:val="22"/>
        </w:rPr>
      </w:pPr>
      <w:r>
        <w:rPr>
          <w:b/>
          <w:i/>
          <w:sz w:val="22"/>
          <w:szCs w:val="22"/>
        </w:rPr>
        <w:t>Observation 1:</w:t>
      </w:r>
    </w:p>
    <w:p w14:paraId="68499846" w14:textId="77777777" w:rsidR="00B07CCD" w:rsidRPr="00B07CCD" w:rsidRDefault="00B07CCD" w:rsidP="00B07CCD">
      <w:pPr>
        <w:numPr>
          <w:ilvl w:val="0"/>
          <w:numId w:val="4"/>
        </w:numPr>
        <w:spacing w:after="120"/>
        <w:jc w:val="both"/>
        <w:rPr>
          <w:rFonts w:eastAsiaTheme="minorHAnsi"/>
          <w:b/>
          <w:i/>
          <w:sz w:val="22"/>
          <w:szCs w:val="22"/>
          <w:lang w:val="en-AU" w:eastAsia="en-AU"/>
        </w:rPr>
      </w:pPr>
      <w:proofErr w:type="spellStart"/>
      <w:r w:rsidRPr="00B07CCD">
        <w:rPr>
          <w:rFonts w:eastAsiaTheme="minorHAnsi"/>
          <w:b/>
          <w:i/>
          <w:sz w:val="22"/>
          <w:szCs w:val="22"/>
          <w:lang w:val="en-AU" w:eastAsia="en-AU"/>
        </w:rPr>
        <w:t>Tx</w:t>
      </w:r>
      <w:proofErr w:type="spellEnd"/>
      <w:r w:rsidRPr="00B07CCD">
        <w:rPr>
          <w:rFonts w:eastAsiaTheme="minorHAnsi"/>
          <w:b/>
          <w:i/>
          <w:sz w:val="22"/>
          <w:szCs w:val="22"/>
          <w:lang w:val="en-AU" w:eastAsia="en-AU"/>
        </w:rPr>
        <w:t xml:space="preserve">/Rx switching time is only necessary for a UE switching </w:t>
      </w:r>
      <w:proofErr w:type="spellStart"/>
      <w:r w:rsidRPr="00B07CCD">
        <w:rPr>
          <w:rFonts w:eastAsiaTheme="minorHAnsi"/>
          <w:b/>
          <w:i/>
          <w:sz w:val="22"/>
          <w:szCs w:val="22"/>
          <w:lang w:val="en-AU" w:eastAsia="en-AU"/>
        </w:rPr>
        <w:t>Tx</w:t>
      </w:r>
      <w:proofErr w:type="spellEnd"/>
      <w:r w:rsidRPr="00B07CCD">
        <w:rPr>
          <w:rFonts w:eastAsiaTheme="minorHAnsi"/>
          <w:b/>
          <w:i/>
          <w:sz w:val="22"/>
          <w:szCs w:val="22"/>
          <w:lang w:val="en-AU" w:eastAsia="en-AU"/>
        </w:rPr>
        <w:t xml:space="preserve">/Rx behaviour in the next slot, in case of the duration of one symbol is longer than the time for AGC plus the time for </w:t>
      </w:r>
      <w:proofErr w:type="spellStart"/>
      <w:r w:rsidRPr="00B07CCD">
        <w:rPr>
          <w:rFonts w:eastAsiaTheme="minorHAnsi"/>
          <w:b/>
          <w:i/>
          <w:sz w:val="22"/>
          <w:szCs w:val="22"/>
          <w:lang w:val="en-AU" w:eastAsia="en-AU"/>
        </w:rPr>
        <w:t>Tx</w:t>
      </w:r>
      <w:proofErr w:type="spellEnd"/>
      <w:r w:rsidRPr="00B07CCD">
        <w:rPr>
          <w:rFonts w:eastAsiaTheme="minorHAnsi"/>
          <w:b/>
          <w:i/>
          <w:sz w:val="22"/>
          <w:szCs w:val="22"/>
          <w:lang w:val="en-AU" w:eastAsia="en-AU"/>
        </w:rPr>
        <w:t xml:space="preserve">/Rx switching, there is no need to configure system gap for </w:t>
      </w:r>
      <w:proofErr w:type="spellStart"/>
      <w:r w:rsidRPr="00B07CCD">
        <w:rPr>
          <w:rFonts w:eastAsiaTheme="minorHAnsi"/>
          <w:b/>
          <w:i/>
          <w:sz w:val="22"/>
          <w:szCs w:val="22"/>
          <w:lang w:val="en-AU" w:eastAsia="en-AU"/>
        </w:rPr>
        <w:t>Tx</w:t>
      </w:r>
      <w:proofErr w:type="spellEnd"/>
      <w:r w:rsidRPr="00B07CCD">
        <w:rPr>
          <w:rFonts w:eastAsiaTheme="minorHAnsi"/>
          <w:b/>
          <w:i/>
          <w:sz w:val="22"/>
          <w:szCs w:val="22"/>
          <w:lang w:val="en-AU" w:eastAsia="en-AU"/>
        </w:rPr>
        <w:t>/Rx switching;</w:t>
      </w:r>
    </w:p>
    <w:p w14:paraId="567B6210" w14:textId="77777777" w:rsidR="00F13E59" w:rsidRPr="006055AB" w:rsidRDefault="00F13E59" w:rsidP="00F13E59">
      <w:pPr>
        <w:spacing w:after="120"/>
        <w:jc w:val="both"/>
        <w:rPr>
          <w:b/>
          <w:i/>
          <w:sz w:val="22"/>
          <w:szCs w:val="22"/>
        </w:rPr>
      </w:pPr>
      <w:r w:rsidRPr="006055AB">
        <w:rPr>
          <w:b/>
          <w:i/>
          <w:sz w:val="22"/>
          <w:szCs w:val="22"/>
        </w:rPr>
        <w:t xml:space="preserve">Proposal 1: </w:t>
      </w:r>
    </w:p>
    <w:p w14:paraId="566DE68A" w14:textId="77777777" w:rsidR="00F13E59" w:rsidRDefault="00F13E59" w:rsidP="00F13E59">
      <w:pPr>
        <w:pStyle w:val="a5"/>
        <w:numPr>
          <w:ilvl w:val="0"/>
          <w:numId w:val="3"/>
        </w:numPr>
        <w:jc w:val="both"/>
        <w:rPr>
          <w:rFonts w:ascii="Times New Roman" w:hAnsi="Times New Roman"/>
          <w:b/>
          <w:i/>
        </w:rPr>
      </w:pPr>
      <w:r>
        <w:rPr>
          <w:rFonts w:ascii="Times New Roman" w:hAnsi="Times New Roman"/>
          <w:b/>
          <w:i/>
        </w:rPr>
        <w:t>Both normal CP and extended CP should be considered for NR sidelink;</w:t>
      </w:r>
    </w:p>
    <w:p w14:paraId="51321718" w14:textId="77777777" w:rsidR="00F13E59" w:rsidRPr="00B7732D" w:rsidRDefault="00F13E59" w:rsidP="00F13E59">
      <w:pPr>
        <w:pStyle w:val="a5"/>
        <w:numPr>
          <w:ilvl w:val="0"/>
          <w:numId w:val="3"/>
        </w:numPr>
        <w:jc w:val="both"/>
        <w:rPr>
          <w:rFonts w:ascii="Times New Roman" w:hAnsi="Times New Roman"/>
          <w:b/>
          <w:i/>
        </w:rPr>
      </w:pPr>
      <w:r>
        <w:rPr>
          <w:rFonts w:ascii="Times New Roman" w:hAnsi="Times New Roman"/>
          <w:b/>
          <w:i/>
        </w:rPr>
        <w:t>The selection between normal CP and extended CP should take into account SCS and sync reference type;</w:t>
      </w:r>
    </w:p>
    <w:p w14:paraId="09ACE131" w14:textId="77777777" w:rsidR="00F13E59" w:rsidRPr="006055AB" w:rsidRDefault="00F13E59" w:rsidP="00F13E59">
      <w:pPr>
        <w:spacing w:after="120"/>
        <w:jc w:val="both"/>
        <w:rPr>
          <w:b/>
          <w:i/>
          <w:sz w:val="22"/>
          <w:szCs w:val="22"/>
        </w:rPr>
      </w:pPr>
      <w:r w:rsidRPr="006055AB">
        <w:rPr>
          <w:b/>
          <w:i/>
          <w:sz w:val="22"/>
          <w:szCs w:val="22"/>
        </w:rPr>
        <w:t xml:space="preserve">Proposal </w:t>
      </w:r>
      <w:r>
        <w:rPr>
          <w:b/>
          <w:i/>
          <w:sz w:val="22"/>
          <w:szCs w:val="22"/>
        </w:rPr>
        <w:t>2</w:t>
      </w:r>
      <w:r w:rsidRPr="006055AB">
        <w:rPr>
          <w:b/>
          <w:i/>
          <w:sz w:val="22"/>
          <w:szCs w:val="22"/>
        </w:rPr>
        <w:t xml:space="preserve">: </w:t>
      </w:r>
    </w:p>
    <w:p w14:paraId="4847D6BD" w14:textId="77777777" w:rsidR="00F13E59" w:rsidRPr="004D7D51" w:rsidRDefault="00F13E59" w:rsidP="00F13E59">
      <w:pPr>
        <w:pStyle w:val="a5"/>
        <w:numPr>
          <w:ilvl w:val="0"/>
          <w:numId w:val="3"/>
        </w:numPr>
        <w:jc w:val="both"/>
        <w:rPr>
          <w:rFonts w:ascii="Times New Roman" w:hAnsi="Times New Roman"/>
          <w:b/>
          <w:i/>
        </w:rPr>
      </w:pPr>
      <w:r>
        <w:rPr>
          <w:rFonts w:ascii="Times New Roman" w:hAnsi="Times New Roman"/>
          <w:b/>
          <w:i/>
        </w:rPr>
        <w:t>Only CP-OFDM is supported in NR V2X;</w:t>
      </w:r>
    </w:p>
    <w:p w14:paraId="0705E482" w14:textId="77777777" w:rsidR="00F13E59" w:rsidRPr="006055AB" w:rsidRDefault="00F13E59" w:rsidP="00F13E59">
      <w:pPr>
        <w:spacing w:after="120"/>
        <w:jc w:val="both"/>
        <w:rPr>
          <w:b/>
          <w:i/>
          <w:sz w:val="22"/>
          <w:szCs w:val="22"/>
        </w:rPr>
      </w:pPr>
      <w:r w:rsidRPr="006055AB">
        <w:rPr>
          <w:b/>
          <w:i/>
          <w:sz w:val="22"/>
          <w:szCs w:val="22"/>
        </w:rPr>
        <w:t>Proposal</w:t>
      </w:r>
      <w:r>
        <w:rPr>
          <w:b/>
          <w:i/>
          <w:sz w:val="22"/>
          <w:szCs w:val="22"/>
        </w:rPr>
        <w:t xml:space="preserve"> 3</w:t>
      </w:r>
      <w:r w:rsidRPr="006055AB">
        <w:rPr>
          <w:b/>
          <w:i/>
          <w:sz w:val="22"/>
          <w:szCs w:val="22"/>
        </w:rPr>
        <w:t xml:space="preserve">: </w:t>
      </w:r>
    </w:p>
    <w:p w14:paraId="081C0C86" w14:textId="77777777" w:rsidR="00F13E59" w:rsidRPr="004D7D51" w:rsidRDefault="00F13E59" w:rsidP="00F13E59">
      <w:pPr>
        <w:pStyle w:val="a5"/>
        <w:numPr>
          <w:ilvl w:val="0"/>
          <w:numId w:val="3"/>
        </w:numPr>
        <w:jc w:val="both"/>
        <w:rPr>
          <w:rFonts w:ascii="Times New Roman" w:hAnsi="Times New Roman"/>
          <w:b/>
          <w:i/>
        </w:rPr>
      </w:pPr>
      <w:r>
        <w:rPr>
          <w:rFonts w:ascii="Times New Roman" w:hAnsi="Times New Roman"/>
          <w:b/>
          <w:i/>
        </w:rPr>
        <w:t>Only Option 3 is supported for PSCCH and PSSCH multiplexing;</w:t>
      </w:r>
    </w:p>
    <w:p w14:paraId="3719141F" w14:textId="77777777" w:rsidR="00F13E59" w:rsidRPr="006055AB" w:rsidRDefault="00F13E59" w:rsidP="00F13E59">
      <w:pPr>
        <w:spacing w:before="240" w:after="60"/>
        <w:jc w:val="both"/>
        <w:rPr>
          <w:b/>
          <w:i/>
          <w:sz w:val="22"/>
          <w:szCs w:val="22"/>
        </w:rPr>
      </w:pPr>
      <w:r w:rsidRPr="006055AB">
        <w:rPr>
          <w:b/>
          <w:i/>
          <w:sz w:val="22"/>
          <w:szCs w:val="22"/>
        </w:rPr>
        <w:t xml:space="preserve">Proposal </w:t>
      </w:r>
      <w:r>
        <w:rPr>
          <w:b/>
          <w:i/>
          <w:sz w:val="22"/>
          <w:szCs w:val="22"/>
        </w:rPr>
        <w:t>4</w:t>
      </w:r>
      <w:r w:rsidRPr="006055AB">
        <w:rPr>
          <w:b/>
          <w:i/>
          <w:sz w:val="22"/>
          <w:szCs w:val="22"/>
        </w:rPr>
        <w:t xml:space="preserve">: </w:t>
      </w:r>
    </w:p>
    <w:p w14:paraId="5825BFE1" w14:textId="77777777" w:rsidR="00F13E59" w:rsidRDefault="00F13E59" w:rsidP="00F13E59">
      <w:pPr>
        <w:pStyle w:val="a5"/>
        <w:numPr>
          <w:ilvl w:val="0"/>
          <w:numId w:val="4"/>
        </w:numPr>
        <w:jc w:val="both"/>
        <w:rPr>
          <w:rFonts w:ascii="Times New Roman" w:hAnsi="Times New Roman"/>
          <w:b/>
          <w:i/>
        </w:rPr>
      </w:pPr>
      <w:r>
        <w:rPr>
          <w:rFonts w:ascii="Times New Roman" w:hAnsi="Times New Roman"/>
          <w:b/>
          <w:i/>
        </w:rPr>
        <w:t>BWP is supported for NR sidelink with a restriction that SCS for all BWPs on a carrier are the same;</w:t>
      </w:r>
    </w:p>
    <w:p w14:paraId="3B3EF3AE" w14:textId="77777777" w:rsidR="00F13E59" w:rsidRPr="006055AB" w:rsidRDefault="00F13E59" w:rsidP="00F13E59">
      <w:pPr>
        <w:pStyle w:val="a5"/>
        <w:numPr>
          <w:ilvl w:val="0"/>
          <w:numId w:val="4"/>
        </w:numPr>
        <w:jc w:val="both"/>
        <w:rPr>
          <w:rFonts w:ascii="Times New Roman" w:hAnsi="Times New Roman"/>
          <w:b/>
          <w:i/>
        </w:rPr>
      </w:pPr>
      <w:r>
        <w:rPr>
          <w:rFonts w:ascii="Times New Roman" w:hAnsi="Times New Roman"/>
          <w:b/>
          <w:i/>
        </w:rPr>
        <w:t>Resource pool should be constrained within one BWP if BWP is configured;</w:t>
      </w:r>
    </w:p>
    <w:p w14:paraId="0CF4D678" w14:textId="5C247155" w:rsidR="004E39F9" w:rsidRPr="004E39F9" w:rsidRDefault="004E39F9" w:rsidP="004E39F9">
      <w:pPr>
        <w:jc w:val="both"/>
        <w:rPr>
          <w:b/>
          <w:i/>
          <w:lang w:val="en-AU"/>
        </w:rPr>
      </w:pP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p>
    <w:p w14:paraId="096A970E" w14:textId="6B863521" w:rsidR="00142CCF" w:rsidRPr="006055AB" w:rsidRDefault="006F6050" w:rsidP="00946724">
      <w:pPr>
        <w:pStyle w:val="a5"/>
        <w:numPr>
          <w:ilvl w:val="0"/>
          <w:numId w:val="2"/>
        </w:numPr>
        <w:tabs>
          <w:tab w:val="left" w:pos="567"/>
        </w:tabs>
        <w:ind w:left="-284" w:firstLine="284"/>
        <w:jc w:val="both"/>
        <w:rPr>
          <w:rFonts w:ascii="Times New Roman" w:hAnsi="Times New Roman"/>
        </w:rPr>
      </w:pPr>
      <w:bookmarkStart w:id="1" w:name="_Ref521069630"/>
      <w:r w:rsidRPr="006055AB">
        <w:rPr>
          <w:rFonts w:ascii="Times New Roman" w:hAnsi="Times New Roman"/>
        </w:rPr>
        <w:t>RP-181429, New SID: Study on NR V2X</w:t>
      </w:r>
      <w:bookmarkEnd w:id="1"/>
      <w:r w:rsidR="00384B0A" w:rsidRPr="006055AB">
        <w:rPr>
          <w:rFonts w:ascii="Times New Roman" w:hAnsi="Times New Roman"/>
        </w:rPr>
        <w:t>;</w:t>
      </w:r>
    </w:p>
    <w:p w14:paraId="1113D4E0" w14:textId="086D9F71" w:rsidR="00A60138" w:rsidRDefault="00384B0A" w:rsidP="00946724">
      <w:pPr>
        <w:pStyle w:val="a5"/>
        <w:numPr>
          <w:ilvl w:val="0"/>
          <w:numId w:val="2"/>
        </w:numPr>
        <w:tabs>
          <w:tab w:val="left" w:pos="567"/>
        </w:tabs>
        <w:ind w:left="-284" w:firstLine="284"/>
        <w:jc w:val="both"/>
        <w:rPr>
          <w:rFonts w:ascii="Times New Roman" w:hAnsi="Times New Roman"/>
        </w:rPr>
      </w:pPr>
      <w:bookmarkStart w:id="2" w:name="_Ref525032988"/>
      <w:r w:rsidRPr="006055AB">
        <w:rPr>
          <w:rFonts w:ascii="Times New Roman" w:hAnsi="Times New Roman"/>
        </w:rPr>
        <w:lastRenderedPageBreak/>
        <w:t>Chairman's Notes RAN1#94</w:t>
      </w:r>
      <w:r w:rsidR="005F1074">
        <w:rPr>
          <w:rFonts w:ascii="Times New Roman" w:hAnsi="Times New Roman"/>
        </w:rPr>
        <w:t>bis</w:t>
      </w:r>
      <w:r w:rsidRPr="006055AB">
        <w:rPr>
          <w:rFonts w:ascii="Times New Roman" w:hAnsi="Times New Roman"/>
        </w:rPr>
        <w:t>;</w:t>
      </w:r>
      <w:bookmarkEnd w:id="2"/>
    </w:p>
    <w:p w14:paraId="6FAE272E" w14:textId="0E696D56" w:rsidR="00726C42" w:rsidRPr="006055AB" w:rsidRDefault="00726C42" w:rsidP="00726C42">
      <w:pPr>
        <w:pStyle w:val="a5"/>
        <w:numPr>
          <w:ilvl w:val="0"/>
          <w:numId w:val="2"/>
        </w:numPr>
        <w:tabs>
          <w:tab w:val="left" w:pos="567"/>
        </w:tabs>
        <w:ind w:left="-284" w:firstLine="284"/>
        <w:jc w:val="both"/>
        <w:rPr>
          <w:rFonts w:ascii="Times New Roman" w:hAnsi="Times New Roman"/>
        </w:rPr>
      </w:pPr>
      <w:bookmarkStart w:id="3" w:name="_Ref528252164"/>
      <w:r w:rsidRPr="006055AB">
        <w:rPr>
          <w:rFonts w:ascii="Times New Roman" w:hAnsi="Times New Roman"/>
        </w:rPr>
        <w:t>Chairman's Notes RAN1#94;</w:t>
      </w:r>
      <w:bookmarkEnd w:id="3"/>
    </w:p>
    <w:sectPr w:rsidR="00726C42" w:rsidRPr="006055AB"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D8A4F" w14:textId="77777777" w:rsidR="00ED6EF1" w:rsidRDefault="00ED6EF1" w:rsidP="00537E71">
      <w:r>
        <w:separator/>
      </w:r>
    </w:p>
  </w:endnote>
  <w:endnote w:type="continuationSeparator" w:id="0">
    <w:p w14:paraId="09028366" w14:textId="77777777" w:rsidR="00ED6EF1" w:rsidRDefault="00ED6EF1"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4653C69A" w:rsidR="004D3507" w:rsidRPr="00537E71" w:rsidRDefault="004D3507"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D7649A">
          <w:rPr>
            <w:noProof/>
            <w:sz w:val="20"/>
            <w:szCs w:val="20"/>
          </w:rPr>
          <w:t>1</w:t>
        </w:r>
        <w:r w:rsidRPr="00537E71">
          <w:rPr>
            <w:noProof/>
            <w:sz w:val="20"/>
            <w:szCs w:val="20"/>
          </w:rPr>
          <w:fldChar w:fldCharType="end"/>
        </w:r>
        <w:r w:rsidRPr="00537E71">
          <w:rPr>
            <w:noProof/>
            <w:sz w:val="20"/>
            <w:szCs w:val="20"/>
          </w:rPr>
          <w:t>/</w:t>
        </w:r>
        <w:r w:rsidR="00D7649A">
          <w:rPr>
            <w:noProof/>
            <w:sz w:val="20"/>
            <w:szCs w:val="20"/>
          </w:rPr>
          <w:t>6</w:t>
        </w:r>
      </w:p>
    </w:sdtContent>
  </w:sdt>
  <w:p w14:paraId="26309CDB" w14:textId="77777777" w:rsidR="004D3507" w:rsidRDefault="004D350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EF35B" w14:textId="77777777" w:rsidR="00ED6EF1" w:rsidRDefault="00ED6EF1" w:rsidP="00537E71">
      <w:r>
        <w:separator/>
      </w:r>
    </w:p>
  </w:footnote>
  <w:footnote w:type="continuationSeparator" w:id="0">
    <w:p w14:paraId="1A8DE23A" w14:textId="77777777" w:rsidR="00ED6EF1" w:rsidRDefault="00ED6EF1"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6"/>
  </w:num>
  <w:num w:numId="6">
    <w:abstractNumId w:val="8"/>
  </w:num>
  <w:num w:numId="7">
    <w:abstractNumId w:val="10"/>
  </w:num>
  <w:num w:numId="8">
    <w:abstractNumId w:val="2"/>
  </w:num>
  <w:num w:numId="9">
    <w:abstractNumId w:val="0"/>
  </w:num>
  <w:num w:numId="10">
    <w:abstractNumId w:val="9"/>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41B6"/>
    <w:rsid w:val="000252C7"/>
    <w:rsid w:val="000260E3"/>
    <w:rsid w:val="000275CE"/>
    <w:rsid w:val="00030E45"/>
    <w:rsid w:val="0003530B"/>
    <w:rsid w:val="00040C03"/>
    <w:rsid w:val="000413E6"/>
    <w:rsid w:val="000413E7"/>
    <w:rsid w:val="00043263"/>
    <w:rsid w:val="00044C54"/>
    <w:rsid w:val="00045384"/>
    <w:rsid w:val="00045E57"/>
    <w:rsid w:val="00047038"/>
    <w:rsid w:val="000479BC"/>
    <w:rsid w:val="000538AB"/>
    <w:rsid w:val="00056F51"/>
    <w:rsid w:val="000572A3"/>
    <w:rsid w:val="00063BE8"/>
    <w:rsid w:val="00063CBD"/>
    <w:rsid w:val="00066736"/>
    <w:rsid w:val="00071AC4"/>
    <w:rsid w:val="000731DA"/>
    <w:rsid w:val="00073367"/>
    <w:rsid w:val="00074A21"/>
    <w:rsid w:val="00074D94"/>
    <w:rsid w:val="00077429"/>
    <w:rsid w:val="00080F64"/>
    <w:rsid w:val="00084820"/>
    <w:rsid w:val="0008494E"/>
    <w:rsid w:val="00084A61"/>
    <w:rsid w:val="00084E1D"/>
    <w:rsid w:val="00085155"/>
    <w:rsid w:val="00090261"/>
    <w:rsid w:val="000909B6"/>
    <w:rsid w:val="00090B2B"/>
    <w:rsid w:val="00092AA3"/>
    <w:rsid w:val="00093666"/>
    <w:rsid w:val="000965DC"/>
    <w:rsid w:val="00096B99"/>
    <w:rsid w:val="00096EC1"/>
    <w:rsid w:val="000973F6"/>
    <w:rsid w:val="000A1118"/>
    <w:rsid w:val="000A1B5B"/>
    <w:rsid w:val="000A233E"/>
    <w:rsid w:val="000A25E5"/>
    <w:rsid w:val="000A2842"/>
    <w:rsid w:val="000A390F"/>
    <w:rsid w:val="000A3D74"/>
    <w:rsid w:val="000A4EFD"/>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73BA"/>
    <w:rsid w:val="000E08E8"/>
    <w:rsid w:val="000E1AFC"/>
    <w:rsid w:val="000E2D59"/>
    <w:rsid w:val="000E2E4A"/>
    <w:rsid w:val="000E5175"/>
    <w:rsid w:val="000F1350"/>
    <w:rsid w:val="000F158A"/>
    <w:rsid w:val="000F15D6"/>
    <w:rsid w:val="000F1BF0"/>
    <w:rsid w:val="000F2CE9"/>
    <w:rsid w:val="000F2DD5"/>
    <w:rsid w:val="000F4525"/>
    <w:rsid w:val="000F4EEC"/>
    <w:rsid w:val="000F6695"/>
    <w:rsid w:val="000F6EB9"/>
    <w:rsid w:val="000F7C77"/>
    <w:rsid w:val="00100732"/>
    <w:rsid w:val="001016D2"/>
    <w:rsid w:val="00103DC8"/>
    <w:rsid w:val="00106FED"/>
    <w:rsid w:val="00110335"/>
    <w:rsid w:val="00111437"/>
    <w:rsid w:val="00114506"/>
    <w:rsid w:val="0012284E"/>
    <w:rsid w:val="0012581A"/>
    <w:rsid w:val="001270DF"/>
    <w:rsid w:val="00133792"/>
    <w:rsid w:val="00134258"/>
    <w:rsid w:val="0013456C"/>
    <w:rsid w:val="00135377"/>
    <w:rsid w:val="00135EEF"/>
    <w:rsid w:val="00136892"/>
    <w:rsid w:val="00136991"/>
    <w:rsid w:val="00141046"/>
    <w:rsid w:val="00142CCF"/>
    <w:rsid w:val="00144758"/>
    <w:rsid w:val="001447E5"/>
    <w:rsid w:val="00146C64"/>
    <w:rsid w:val="00152821"/>
    <w:rsid w:val="001545A9"/>
    <w:rsid w:val="00156460"/>
    <w:rsid w:val="00157C3C"/>
    <w:rsid w:val="00170E62"/>
    <w:rsid w:val="00171BD3"/>
    <w:rsid w:val="001758DE"/>
    <w:rsid w:val="0017727B"/>
    <w:rsid w:val="00183A18"/>
    <w:rsid w:val="001843AA"/>
    <w:rsid w:val="00190889"/>
    <w:rsid w:val="00190B38"/>
    <w:rsid w:val="00192959"/>
    <w:rsid w:val="00194A0F"/>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522B"/>
    <w:rsid w:val="001C5AFF"/>
    <w:rsid w:val="001D0009"/>
    <w:rsid w:val="001D0EA3"/>
    <w:rsid w:val="001D260D"/>
    <w:rsid w:val="001D2783"/>
    <w:rsid w:val="001D41A5"/>
    <w:rsid w:val="001D4D5A"/>
    <w:rsid w:val="001D7B9C"/>
    <w:rsid w:val="001E02F6"/>
    <w:rsid w:val="001E0797"/>
    <w:rsid w:val="001E28D5"/>
    <w:rsid w:val="001E3561"/>
    <w:rsid w:val="001E6823"/>
    <w:rsid w:val="001E6D90"/>
    <w:rsid w:val="001F1DFA"/>
    <w:rsid w:val="001F24B4"/>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2FB"/>
    <w:rsid w:val="00214DED"/>
    <w:rsid w:val="002204FB"/>
    <w:rsid w:val="002214DD"/>
    <w:rsid w:val="00224142"/>
    <w:rsid w:val="00226A83"/>
    <w:rsid w:val="002276C5"/>
    <w:rsid w:val="0022771B"/>
    <w:rsid w:val="002277ED"/>
    <w:rsid w:val="00233200"/>
    <w:rsid w:val="0023600E"/>
    <w:rsid w:val="00236613"/>
    <w:rsid w:val="0023748F"/>
    <w:rsid w:val="00240180"/>
    <w:rsid w:val="0024263C"/>
    <w:rsid w:val="00245F41"/>
    <w:rsid w:val="002542E3"/>
    <w:rsid w:val="00255203"/>
    <w:rsid w:val="00256399"/>
    <w:rsid w:val="00256778"/>
    <w:rsid w:val="002578E8"/>
    <w:rsid w:val="00261047"/>
    <w:rsid w:val="002643DA"/>
    <w:rsid w:val="0026456C"/>
    <w:rsid w:val="00267FE7"/>
    <w:rsid w:val="002700A4"/>
    <w:rsid w:val="0027212B"/>
    <w:rsid w:val="002724FB"/>
    <w:rsid w:val="002755FE"/>
    <w:rsid w:val="002810AD"/>
    <w:rsid w:val="00281DDE"/>
    <w:rsid w:val="00282390"/>
    <w:rsid w:val="00286584"/>
    <w:rsid w:val="00295972"/>
    <w:rsid w:val="00295D9A"/>
    <w:rsid w:val="002978F6"/>
    <w:rsid w:val="002A0659"/>
    <w:rsid w:val="002A27EE"/>
    <w:rsid w:val="002A42C1"/>
    <w:rsid w:val="002A6A6E"/>
    <w:rsid w:val="002A701F"/>
    <w:rsid w:val="002B025C"/>
    <w:rsid w:val="002B2ABC"/>
    <w:rsid w:val="002B2C43"/>
    <w:rsid w:val="002B4AE4"/>
    <w:rsid w:val="002C2981"/>
    <w:rsid w:val="002C5BEE"/>
    <w:rsid w:val="002C76AC"/>
    <w:rsid w:val="002D315A"/>
    <w:rsid w:val="002D4492"/>
    <w:rsid w:val="002D66C7"/>
    <w:rsid w:val="002D6D39"/>
    <w:rsid w:val="002E4B09"/>
    <w:rsid w:val="002E62A3"/>
    <w:rsid w:val="002E7077"/>
    <w:rsid w:val="002F1AD9"/>
    <w:rsid w:val="002F419F"/>
    <w:rsid w:val="002F4683"/>
    <w:rsid w:val="002F4AF4"/>
    <w:rsid w:val="002F52E8"/>
    <w:rsid w:val="002F5A67"/>
    <w:rsid w:val="002F64DB"/>
    <w:rsid w:val="002F7C28"/>
    <w:rsid w:val="00300111"/>
    <w:rsid w:val="00303B06"/>
    <w:rsid w:val="00310331"/>
    <w:rsid w:val="0031251D"/>
    <w:rsid w:val="00312581"/>
    <w:rsid w:val="0031414C"/>
    <w:rsid w:val="00316A59"/>
    <w:rsid w:val="00320166"/>
    <w:rsid w:val="003227CE"/>
    <w:rsid w:val="00324928"/>
    <w:rsid w:val="003250D8"/>
    <w:rsid w:val="00326754"/>
    <w:rsid w:val="00327E99"/>
    <w:rsid w:val="003336E5"/>
    <w:rsid w:val="00333C23"/>
    <w:rsid w:val="00334BBF"/>
    <w:rsid w:val="00334CCC"/>
    <w:rsid w:val="003351F4"/>
    <w:rsid w:val="00335778"/>
    <w:rsid w:val="00336D54"/>
    <w:rsid w:val="003405A4"/>
    <w:rsid w:val="00343CBB"/>
    <w:rsid w:val="003442B4"/>
    <w:rsid w:val="00345A68"/>
    <w:rsid w:val="003475F9"/>
    <w:rsid w:val="00347D08"/>
    <w:rsid w:val="003527C8"/>
    <w:rsid w:val="0035427F"/>
    <w:rsid w:val="0035566D"/>
    <w:rsid w:val="00356BEE"/>
    <w:rsid w:val="00360686"/>
    <w:rsid w:val="00361F55"/>
    <w:rsid w:val="00363412"/>
    <w:rsid w:val="00363670"/>
    <w:rsid w:val="00363D21"/>
    <w:rsid w:val="00363F36"/>
    <w:rsid w:val="00364DB3"/>
    <w:rsid w:val="00370746"/>
    <w:rsid w:val="0037079A"/>
    <w:rsid w:val="00371168"/>
    <w:rsid w:val="00373E78"/>
    <w:rsid w:val="00374AFD"/>
    <w:rsid w:val="003757C8"/>
    <w:rsid w:val="0037617D"/>
    <w:rsid w:val="00376394"/>
    <w:rsid w:val="00384B0A"/>
    <w:rsid w:val="00385E58"/>
    <w:rsid w:val="00397210"/>
    <w:rsid w:val="003A013F"/>
    <w:rsid w:val="003A13A6"/>
    <w:rsid w:val="003A2689"/>
    <w:rsid w:val="003A28A3"/>
    <w:rsid w:val="003A394B"/>
    <w:rsid w:val="003A3D66"/>
    <w:rsid w:val="003A4473"/>
    <w:rsid w:val="003A4623"/>
    <w:rsid w:val="003A5201"/>
    <w:rsid w:val="003B12CD"/>
    <w:rsid w:val="003B3E2E"/>
    <w:rsid w:val="003B6D6D"/>
    <w:rsid w:val="003B7586"/>
    <w:rsid w:val="003B7C3E"/>
    <w:rsid w:val="003C09E4"/>
    <w:rsid w:val="003C0FE0"/>
    <w:rsid w:val="003C202F"/>
    <w:rsid w:val="003C297A"/>
    <w:rsid w:val="003C4A58"/>
    <w:rsid w:val="003C538C"/>
    <w:rsid w:val="003C66BF"/>
    <w:rsid w:val="003D010A"/>
    <w:rsid w:val="003D7CA4"/>
    <w:rsid w:val="003E11BF"/>
    <w:rsid w:val="003F21AD"/>
    <w:rsid w:val="003F4055"/>
    <w:rsid w:val="003F603C"/>
    <w:rsid w:val="003F62B7"/>
    <w:rsid w:val="00403D55"/>
    <w:rsid w:val="004044BE"/>
    <w:rsid w:val="00405143"/>
    <w:rsid w:val="00405F29"/>
    <w:rsid w:val="004107C3"/>
    <w:rsid w:val="00411516"/>
    <w:rsid w:val="00411E81"/>
    <w:rsid w:val="00413BD2"/>
    <w:rsid w:val="00413C33"/>
    <w:rsid w:val="00414A38"/>
    <w:rsid w:val="00415C33"/>
    <w:rsid w:val="00417A8D"/>
    <w:rsid w:val="00421C82"/>
    <w:rsid w:val="0042275D"/>
    <w:rsid w:val="00422EFF"/>
    <w:rsid w:val="00423D20"/>
    <w:rsid w:val="004244A7"/>
    <w:rsid w:val="00426DDE"/>
    <w:rsid w:val="004328C8"/>
    <w:rsid w:val="004333A5"/>
    <w:rsid w:val="00443651"/>
    <w:rsid w:val="004452EF"/>
    <w:rsid w:val="004465CF"/>
    <w:rsid w:val="0044732D"/>
    <w:rsid w:val="004513F2"/>
    <w:rsid w:val="004519AA"/>
    <w:rsid w:val="00455BE8"/>
    <w:rsid w:val="0046112B"/>
    <w:rsid w:val="00463BA2"/>
    <w:rsid w:val="00464307"/>
    <w:rsid w:val="004662AA"/>
    <w:rsid w:val="0047170C"/>
    <w:rsid w:val="00471FA6"/>
    <w:rsid w:val="00473DF7"/>
    <w:rsid w:val="00474AB1"/>
    <w:rsid w:val="0048169B"/>
    <w:rsid w:val="004841C9"/>
    <w:rsid w:val="00495998"/>
    <w:rsid w:val="00495CC7"/>
    <w:rsid w:val="004A5493"/>
    <w:rsid w:val="004A6506"/>
    <w:rsid w:val="004A670A"/>
    <w:rsid w:val="004A6EE2"/>
    <w:rsid w:val="004B17E5"/>
    <w:rsid w:val="004B1C50"/>
    <w:rsid w:val="004B6A7A"/>
    <w:rsid w:val="004B713A"/>
    <w:rsid w:val="004C0F81"/>
    <w:rsid w:val="004C185E"/>
    <w:rsid w:val="004D0D5C"/>
    <w:rsid w:val="004D1F37"/>
    <w:rsid w:val="004D2AB8"/>
    <w:rsid w:val="004D3507"/>
    <w:rsid w:val="004D4785"/>
    <w:rsid w:val="004D52E8"/>
    <w:rsid w:val="004D6B52"/>
    <w:rsid w:val="004D7D51"/>
    <w:rsid w:val="004E03D2"/>
    <w:rsid w:val="004E297D"/>
    <w:rsid w:val="004E39F9"/>
    <w:rsid w:val="004E3F18"/>
    <w:rsid w:val="004E5423"/>
    <w:rsid w:val="004E7831"/>
    <w:rsid w:val="004F57F2"/>
    <w:rsid w:val="004F5DDA"/>
    <w:rsid w:val="004F715A"/>
    <w:rsid w:val="004F74AE"/>
    <w:rsid w:val="004F76C9"/>
    <w:rsid w:val="004F7976"/>
    <w:rsid w:val="00500466"/>
    <w:rsid w:val="005014DF"/>
    <w:rsid w:val="00504870"/>
    <w:rsid w:val="0050791A"/>
    <w:rsid w:val="00511D2A"/>
    <w:rsid w:val="00512031"/>
    <w:rsid w:val="005137DD"/>
    <w:rsid w:val="00514E2C"/>
    <w:rsid w:val="00515512"/>
    <w:rsid w:val="00517078"/>
    <w:rsid w:val="00517524"/>
    <w:rsid w:val="00520BF8"/>
    <w:rsid w:val="00521281"/>
    <w:rsid w:val="005226F2"/>
    <w:rsid w:val="00524121"/>
    <w:rsid w:val="00526D49"/>
    <w:rsid w:val="0053338F"/>
    <w:rsid w:val="00534F20"/>
    <w:rsid w:val="00535CB8"/>
    <w:rsid w:val="005363FF"/>
    <w:rsid w:val="00536CEE"/>
    <w:rsid w:val="00537724"/>
    <w:rsid w:val="00537E71"/>
    <w:rsid w:val="005418B2"/>
    <w:rsid w:val="00543388"/>
    <w:rsid w:val="00544477"/>
    <w:rsid w:val="0054697F"/>
    <w:rsid w:val="0055798C"/>
    <w:rsid w:val="00560BAE"/>
    <w:rsid w:val="00562AC4"/>
    <w:rsid w:val="005678B7"/>
    <w:rsid w:val="00574529"/>
    <w:rsid w:val="00587632"/>
    <w:rsid w:val="005903BF"/>
    <w:rsid w:val="005953E6"/>
    <w:rsid w:val="005A222E"/>
    <w:rsid w:val="005A3645"/>
    <w:rsid w:val="005A52CD"/>
    <w:rsid w:val="005B0DEC"/>
    <w:rsid w:val="005B0ED3"/>
    <w:rsid w:val="005B41D7"/>
    <w:rsid w:val="005B50E8"/>
    <w:rsid w:val="005B5F98"/>
    <w:rsid w:val="005B7021"/>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074"/>
    <w:rsid w:val="005F1D3A"/>
    <w:rsid w:val="005F4DF4"/>
    <w:rsid w:val="005F4F83"/>
    <w:rsid w:val="005F5693"/>
    <w:rsid w:val="005F56F2"/>
    <w:rsid w:val="005F733A"/>
    <w:rsid w:val="00600F00"/>
    <w:rsid w:val="006013E3"/>
    <w:rsid w:val="00601884"/>
    <w:rsid w:val="0060267D"/>
    <w:rsid w:val="00602684"/>
    <w:rsid w:val="00603514"/>
    <w:rsid w:val="00603E8C"/>
    <w:rsid w:val="006055AB"/>
    <w:rsid w:val="00606501"/>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40634"/>
    <w:rsid w:val="00645AE8"/>
    <w:rsid w:val="00647C97"/>
    <w:rsid w:val="00651A02"/>
    <w:rsid w:val="00652E3D"/>
    <w:rsid w:val="00652ED2"/>
    <w:rsid w:val="00661B86"/>
    <w:rsid w:val="006634CC"/>
    <w:rsid w:val="006659FA"/>
    <w:rsid w:val="00666EBA"/>
    <w:rsid w:val="00667A38"/>
    <w:rsid w:val="0067002C"/>
    <w:rsid w:val="006729C7"/>
    <w:rsid w:val="0067477F"/>
    <w:rsid w:val="0067725C"/>
    <w:rsid w:val="00680E85"/>
    <w:rsid w:val="006817BD"/>
    <w:rsid w:val="00681A4C"/>
    <w:rsid w:val="00684D17"/>
    <w:rsid w:val="0068569F"/>
    <w:rsid w:val="0068748F"/>
    <w:rsid w:val="006874F4"/>
    <w:rsid w:val="00690117"/>
    <w:rsid w:val="0069088F"/>
    <w:rsid w:val="00691E73"/>
    <w:rsid w:val="0069263A"/>
    <w:rsid w:val="00692F08"/>
    <w:rsid w:val="00694EB3"/>
    <w:rsid w:val="0069713E"/>
    <w:rsid w:val="00697725"/>
    <w:rsid w:val="006A0542"/>
    <w:rsid w:val="006A0CC1"/>
    <w:rsid w:val="006A0EA2"/>
    <w:rsid w:val="006A1D8B"/>
    <w:rsid w:val="006A5630"/>
    <w:rsid w:val="006A58ED"/>
    <w:rsid w:val="006A6221"/>
    <w:rsid w:val="006A713E"/>
    <w:rsid w:val="006A79F4"/>
    <w:rsid w:val="006B5ECA"/>
    <w:rsid w:val="006B6F7B"/>
    <w:rsid w:val="006C1108"/>
    <w:rsid w:val="006C3F1F"/>
    <w:rsid w:val="006D022F"/>
    <w:rsid w:val="006D19C9"/>
    <w:rsid w:val="006D22F7"/>
    <w:rsid w:val="006D2B42"/>
    <w:rsid w:val="006D3166"/>
    <w:rsid w:val="006D3232"/>
    <w:rsid w:val="006D56AC"/>
    <w:rsid w:val="006D57BA"/>
    <w:rsid w:val="006E2A99"/>
    <w:rsid w:val="006E2C6F"/>
    <w:rsid w:val="006E45AE"/>
    <w:rsid w:val="006E61E0"/>
    <w:rsid w:val="006E653E"/>
    <w:rsid w:val="006E7C23"/>
    <w:rsid w:val="006F6050"/>
    <w:rsid w:val="006F6E8D"/>
    <w:rsid w:val="006F7FAB"/>
    <w:rsid w:val="00701384"/>
    <w:rsid w:val="007057A9"/>
    <w:rsid w:val="00705A3A"/>
    <w:rsid w:val="00707194"/>
    <w:rsid w:val="0071122E"/>
    <w:rsid w:val="0071277C"/>
    <w:rsid w:val="00715D7A"/>
    <w:rsid w:val="007167D1"/>
    <w:rsid w:val="00716DF7"/>
    <w:rsid w:val="007237E2"/>
    <w:rsid w:val="0072662E"/>
    <w:rsid w:val="00726C42"/>
    <w:rsid w:val="007278B7"/>
    <w:rsid w:val="00732521"/>
    <w:rsid w:val="007363F8"/>
    <w:rsid w:val="0073683A"/>
    <w:rsid w:val="007368B2"/>
    <w:rsid w:val="00736B4E"/>
    <w:rsid w:val="007371F1"/>
    <w:rsid w:val="007375B0"/>
    <w:rsid w:val="00741B92"/>
    <w:rsid w:val="00746D20"/>
    <w:rsid w:val="00746D93"/>
    <w:rsid w:val="00747EB6"/>
    <w:rsid w:val="00751AB9"/>
    <w:rsid w:val="00752163"/>
    <w:rsid w:val="00756928"/>
    <w:rsid w:val="00761DFC"/>
    <w:rsid w:val="00763E34"/>
    <w:rsid w:val="007702C9"/>
    <w:rsid w:val="0077113B"/>
    <w:rsid w:val="00771BA8"/>
    <w:rsid w:val="0077483C"/>
    <w:rsid w:val="00775570"/>
    <w:rsid w:val="007760C5"/>
    <w:rsid w:val="00783C7E"/>
    <w:rsid w:val="00784533"/>
    <w:rsid w:val="00786446"/>
    <w:rsid w:val="0079059D"/>
    <w:rsid w:val="0079114C"/>
    <w:rsid w:val="00791A14"/>
    <w:rsid w:val="00791AC2"/>
    <w:rsid w:val="007923B7"/>
    <w:rsid w:val="00796400"/>
    <w:rsid w:val="00796B45"/>
    <w:rsid w:val="00796EBC"/>
    <w:rsid w:val="007976ED"/>
    <w:rsid w:val="00797BFA"/>
    <w:rsid w:val="007A028B"/>
    <w:rsid w:val="007A1CF5"/>
    <w:rsid w:val="007A3D5A"/>
    <w:rsid w:val="007A3DAA"/>
    <w:rsid w:val="007A4968"/>
    <w:rsid w:val="007A5DBA"/>
    <w:rsid w:val="007A62CC"/>
    <w:rsid w:val="007B08EF"/>
    <w:rsid w:val="007B1EEE"/>
    <w:rsid w:val="007B3CBD"/>
    <w:rsid w:val="007B703A"/>
    <w:rsid w:val="007C042F"/>
    <w:rsid w:val="007C33A9"/>
    <w:rsid w:val="007C72D9"/>
    <w:rsid w:val="007D0669"/>
    <w:rsid w:val="007D0BF5"/>
    <w:rsid w:val="007D2ABB"/>
    <w:rsid w:val="007D539F"/>
    <w:rsid w:val="007E0202"/>
    <w:rsid w:val="007E03EA"/>
    <w:rsid w:val="007E0B13"/>
    <w:rsid w:val="007E13D1"/>
    <w:rsid w:val="007E26BC"/>
    <w:rsid w:val="007E3CD2"/>
    <w:rsid w:val="007E55C4"/>
    <w:rsid w:val="007E6F22"/>
    <w:rsid w:val="007F0F6A"/>
    <w:rsid w:val="007F2FD5"/>
    <w:rsid w:val="007F4A0A"/>
    <w:rsid w:val="007F5949"/>
    <w:rsid w:val="007F7AD4"/>
    <w:rsid w:val="00800181"/>
    <w:rsid w:val="00801301"/>
    <w:rsid w:val="008029A3"/>
    <w:rsid w:val="00810C53"/>
    <w:rsid w:val="008118F4"/>
    <w:rsid w:val="0081249C"/>
    <w:rsid w:val="00814695"/>
    <w:rsid w:val="0081481F"/>
    <w:rsid w:val="008236E7"/>
    <w:rsid w:val="00825F64"/>
    <w:rsid w:val="008274CB"/>
    <w:rsid w:val="0083442C"/>
    <w:rsid w:val="008368C8"/>
    <w:rsid w:val="00841F6A"/>
    <w:rsid w:val="0084257B"/>
    <w:rsid w:val="0084290B"/>
    <w:rsid w:val="00845991"/>
    <w:rsid w:val="0085032F"/>
    <w:rsid w:val="00850CA6"/>
    <w:rsid w:val="00853161"/>
    <w:rsid w:val="00857213"/>
    <w:rsid w:val="0085747A"/>
    <w:rsid w:val="00860D49"/>
    <w:rsid w:val="0086213D"/>
    <w:rsid w:val="008626ED"/>
    <w:rsid w:val="008651A6"/>
    <w:rsid w:val="008701EF"/>
    <w:rsid w:val="008707B6"/>
    <w:rsid w:val="008707EA"/>
    <w:rsid w:val="00871657"/>
    <w:rsid w:val="008722B8"/>
    <w:rsid w:val="008744C0"/>
    <w:rsid w:val="00876EDC"/>
    <w:rsid w:val="008773C7"/>
    <w:rsid w:val="00877685"/>
    <w:rsid w:val="008816AE"/>
    <w:rsid w:val="00891305"/>
    <w:rsid w:val="00894991"/>
    <w:rsid w:val="00894DE0"/>
    <w:rsid w:val="00895E9A"/>
    <w:rsid w:val="00896634"/>
    <w:rsid w:val="008A0DC8"/>
    <w:rsid w:val="008A1DFA"/>
    <w:rsid w:val="008A30A6"/>
    <w:rsid w:val="008A4691"/>
    <w:rsid w:val="008A7420"/>
    <w:rsid w:val="008B5D42"/>
    <w:rsid w:val="008B73C0"/>
    <w:rsid w:val="008B7C07"/>
    <w:rsid w:val="008C038D"/>
    <w:rsid w:val="008C0E1E"/>
    <w:rsid w:val="008C1D50"/>
    <w:rsid w:val="008C1FD4"/>
    <w:rsid w:val="008C5288"/>
    <w:rsid w:val="008C7026"/>
    <w:rsid w:val="008D2325"/>
    <w:rsid w:val="008D4D3D"/>
    <w:rsid w:val="008D4F22"/>
    <w:rsid w:val="008D5B47"/>
    <w:rsid w:val="008D6519"/>
    <w:rsid w:val="008E279A"/>
    <w:rsid w:val="008E4617"/>
    <w:rsid w:val="008E589C"/>
    <w:rsid w:val="008F385D"/>
    <w:rsid w:val="008F466B"/>
    <w:rsid w:val="008F67AD"/>
    <w:rsid w:val="008F6C07"/>
    <w:rsid w:val="00901198"/>
    <w:rsid w:val="0090285D"/>
    <w:rsid w:val="00904A68"/>
    <w:rsid w:val="00905DF7"/>
    <w:rsid w:val="0090730C"/>
    <w:rsid w:val="00907F18"/>
    <w:rsid w:val="00916869"/>
    <w:rsid w:val="009174FA"/>
    <w:rsid w:val="009226CC"/>
    <w:rsid w:val="00925069"/>
    <w:rsid w:val="00927F8D"/>
    <w:rsid w:val="0093091E"/>
    <w:rsid w:val="00934ABF"/>
    <w:rsid w:val="00934F73"/>
    <w:rsid w:val="0093647D"/>
    <w:rsid w:val="00937414"/>
    <w:rsid w:val="0093799E"/>
    <w:rsid w:val="00937DE3"/>
    <w:rsid w:val="00942831"/>
    <w:rsid w:val="0094473D"/>
    <w:rsid w:val="009454DD"/>
    <w:rsid w:val="00946157"/>
    <w:rsid w:val="00946724"/>
    <w:rsid w:val="00946FDD"/>
    <w:rsid w:val="0095148A"/>
    <w:rsid w:val="00951C5A"/>
    <w:rsid w:val="00952304"/>
    <w:rsid w:val="009534C2"/>
    <w:rsid w:val="0095549A"/>
    <w:rsid w:val="00956352"/>
    <w:rsid w:val="009573DF"/>
    <w:rsid w:val="0096234D"/>
    <w:rsid w:val="0096315A"/>
    <w:rsid w:val="009668DF"/>
    <w:rsid w:val="0096755B"/>
    <w:rsid w:val="00971CD8"/>
    <w:rsid w:val="00971CF9"/>
    <w:rsid w:val="00976EBF"/>
    <w:rsid w:val="009843B2"/>
    <w:rsid w:val="009917F6"/>
    <w:rsid w:val="00991FA3"/>
    <w:rsid w:val="00992B14"/>
    <w:rsid w:val="00992C36"/>
    <w:rsid w:val="00995E13"/>
    <w:rsid w:val="009966D8"/>
    <w:rsid w:val="00997E52"/>
    <w:rsid w:val="009A1F8F"/>
    <w:rsid w:val="009A3ADE"/>
    <w:rsid w:val="009A3EB9"/>
    <w:rsid w:val="009A4EDA"/>
    <w:rsid w:val="009A6F32"/>
    <w:rsid w:val="009A7AA7"/>
    <w:rsid w:val="009A7D32"/>
    <w:rsid w:val="009B31D4"/>
    <w:rsid w:val="009B3550"/>
    <w:rsid w:val="009B5F1B"/>
    <w:rsid w:val="009C2388"/>
    <w:rsid w:val="009C649F"/>
    <w:rsid w:val="009C6A34"/>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0047"/>
    <w:rsid w:val="00A124D7"/>
    <w:rsid w:val="00A13952"/>
    <w:rsid w:val="00A1736D"/>
    <w:rsid w:val="00A21568"/>
    <w:rsid w:val="00A225A5"/>
    <w:rsid w:val="00A22626"/>
    <w:rsid w:val="00A24B09"/>
    <w:rsid w:val="00A24BBA"/>
    <w:rsid w:val="00A25C5C"/>
    <w:rsid w:val="00A267A3"/>
    <w:rsid w:val="00A27B9D"/>
    <w:rsid w:val="00A36F9A"/>
    <w:rsid w:val="00A4101A"/>
    <w:rsid w:val="00A44FC5"/>
    <w:rsid w:val="00A4562D"/>
    <w:rsid w:val="00A5243A"/>
    <w:rsid w:val="00A52894"/>
    <w:rsid w:val="00A53B46"/>
    <w:rsid w:val="00A53D8D"/>
    <w:rsid w:val="00A55578"/>
    <w:rsid w:val="00A56FB1"/>
    <w:rsid w:val="00A60138"/>
    <w:rsid w:val="00A60367"/>
    <w:rsid w:val="00A603FF"/>
    <w:rsid w:val="00A60525"/>
    <w:rsid w:val="00A605BF"/>
    <w:rsid w:val="00A643B4"/>
    <w:rsid w:val="00A65BF5"/>
    <w:rsid w:val="00A67D7C"/>
    <w:rsid w:val="00A71D14"/>
    <w:rsid w:val="00A71EB5"/>
    <w:rsid w:val="00A73F35"/>
    <w:rsid w:val="00A777BB"/>
    <w:rsid w:val="00A77FA8"/>
    <w:rsid w:val="00A823CC"/>
    <w:rsid w:val="00A84D31"/>
    <w:rsid w:val="00A85BCB"/>
    <w:rsid w:val="00A85E02"/>
    <w:rsid w:val="00A85F4E"/>
    <w:rsid w:val="00A86361"/>
    <w:rsid w:val="00A86D4A"/>
    <w:rsid w:val="00A9108E"/>
    <w:rsid w:val="00A922DD"/>
    <w:rsid w:val="00A92D30"/>
    <w:rsid w:val="00A934CD"/>
    <w:rsid w:val="00A954D5"/>
    <w:rsid w:val="00AA147A"/>
    <w:rsid w:val="00AA2C7B"/>
    <w:rsid w:val="00AA3E22"/>
    <w:rsid w:val="00AA4A5D"/>
    <w:rsid w:val="00AA4D0B"/>
    <w:rsid w:val="00AA74A7"/>
    <w:rsid w:val="00AB4991"/>
    <w:rsid w:val="00AB7183"/>
    <w:rsid w:val="00AB7E56"/>
    <w:rsid w:val="00AB7FA7"/>
    <w:rsid w:val="00AC0F1E"/>
    <w:rsid w:val="00AC63A0"/>
    <w:rsid w:val="00AD079C"/>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B0015C"/>
    <w:rsid w:val="00B00695"/>
    <w:rsid w:val="00B044B3"/>
    <w:rsid w:val="00B04582"/>
    <w:rsid w:val="00B06F98"/>
    <w:rsid w:val="00B074B6"/>
    <w:rsid w:val="00B07CCD"/>
    <w:rsid w:val="00B15098"/>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73542"/>
    <w:rsid w:val="00B74323"/>
    <w:rsid w:val="00B74687"/>
    <w:rsid w:val="00B770E4"/>
    <w:rsid w:val="00B7732D"/>
    <w:rsid w:val="00B77B28"/>
    <w:rsid w:val="00B81FF6"/>
    <w:rsid w:val="00B85107"/>
    <w:rsid w:val="00B868B7"/>
    <w:rsid w:val="00B87325"/>
    <w:rsid w:val="00B90767"/>
    <w:rsid w:val="00B92DDC"/>
    <w:rsid w:val="00B9581F"/>
    <w:rsid w:val="00B95DA9"/>
    <w:rsid w:val="00B964A9"/>
    <w:rsid w:val="00BA03FB"/>
    <w:rsid w:val="00BA072C"/>
    <w:rsid w:val="00BA0AF4"/>
    <w:rsid w:val="00BA294E"/>
    <w:rsid w:val="00BA5BA8"/>
    <w:rsid w:val="00BA6724"/>
    <w:rsid w:val="00BA689E"/>
    <w:rsid w:val="00BA6E1D"/>
    <w:rsid w:val="00BB68C5"/>
    <w:rsid w:val="00BB69AB"/>
    <w:rsid w:val="00BB756E"/>
    <w:rsid w:val="00BC0037"/>
    <w:rsid w:val="00BC1BA1"/>
    <w:rsid w:val="00BC1FA6"/>
    <w:rsid w:val="00BC2063"/>
    <w:rsid w:val="00BC5746"/>
    <w:rsid w:val="00BC5971"/>
    <w:rsid w:val="00BD28E8"/>
    <w:rsid w:val="00BD51B2"/>
    <w:rsid w:val="00BD79EE"/>
    <w:rsid w:val="00BE04DF"/>
    <w:rsid w:val="00BE062D"/>
    <w:rsid w:val="00BE0E1D"/>
    <w:rsid w:val="00BE1E8D"/>
    <w:rsid w:val="00BE364B"/>
    <w:rsid w:val="00BE36A6"/>
    <w:rsid w:val="00BE68A2"/>
    <w:rsid w:val="00BE7330"/>
    <w:rsid w:val="00BE7B1A"/>
    <w:rsid w:val="00BF2826"/>
    <w:rsid w:val="00BF424D"/>
    <w:rsid w:val="00BF441E"/>
    <w:rsid w:val="00BF5A70"/>
    <w:rsid w:val="00C01078"/>
    <w:rsid w:val="00C016C8"/>
    <w:rsid w:val="00C02C61"/>
    <w:rsid w:val="00C03D8C"/>
    <w:rsid w:val="00C0524E"/>
    <w:rsid w:val="00C05979"/>
    <w:rsid w:val="00C071ED"/>
    <w:rsid w:val="00C076B9"/>
    <w:rsid w:val="00C114F1"/>
    <w:rsid w:val="00C1197F"/>
    <w:rsid w:val="00C12ABC"/>
    <w:rsid w:val="00C3105F"/>
    <w:rsid w:val="00C33A4F"/>
    <w:rsid w:val="00C33A9A"/>
    <w:rsid w:val="00C36B53"/>
    <w:rsid w:val="00C405A8"/>
    <w:rsid w:val="00C4377D"/>
    <w:rsid w:val="00C43AB7"/>
    <w:rsid w:val="00C46DB1"/>
    <w:rsid w:val="00C51ACB"/>
    <w:rsid w:val="00C570E6"/>
    <w:rsid w:val="00C63432"/>
    <w:rsid w:val="00C63660"/>
    <w:rsid w:val="00C63A20"/>
    <w:rsid w:val="00C63A26"/>
    <w:rsid w:val="00C63ED0"/>
    <w:rsid w:val="00C64568"/>
    <w:rsid w:val="00C65D9E"/>
    <w:rsid w:val="00C71C6F"/>
    <w:rsid w:val="00C71DBF"/>
    <w:rsid w:val="00C7223C"/>
    <w:rsid w:val="00C74D67"/>
    <w:rsid w:val="00C753FF"/>
    <w:rsid w:val="00C80C66"/>
    <w:rsid w:val="00C82368"/>
    <w:rsid w:val="00C83CF4"/>
    <w:rsid w:val="00C87ECC"/>
    <w:rsid w:val="00C9140A"/>
    <w:rsid w:val="00C914C4"/>
    <w:rsid w:val="00C94DEE"/>
    <w:rsid w:val="00CA01A9"/>
    <w:rsid w:val="00CA5712"/>
    <w:rsid w:val="00CA7E05"/>
    <w:rsid w:val="00CB0628"/>
    <w:rsid w:val="00CB08E1"/>
    <w:rsid w:val="00CB0E40"/>
    <w:rsid w:val="00CB0F04"/>
    <w:rsid w:val="00CB22EF"/>
    <w:rsid w:val="00CB2B7B"/>
    <w:rsid w:val="00CB2E8E"/>
    <w:rsid w:val="00CB7755"/>
    <w:rsid w:val="00CC0379"/>
    <w:rsid w:val="00CC1DF5"/>
    <w:rsid w:val="00CC33C2"/>
    <w:rsid w:val="00CC359F"/>
    <w:rsid w:val="00CC4273"/>
    <w:rsid w:val="00CC6424"/>
    <w:rsid w:val="00CC6F98"/>
    <w:rsid w:val="00CD2151"/>
    <w:rsid w:val="00CE1398"/>
    <w:rsid w:val="00CE4079"/>
    <w:rsid w:val="00CE4349"/>
    <w:rsid w:val="00CE4549"/>
    <w:rsid w:val="00CF0A66"/>
    <w:rsid w:val="00CF4AB8"/>
    <w:rsid w:val="00CF518E"/>
    <w:rsid w:val="00CF5346"/>
    <w:rsid w:val="00CF691D"/>
    <w:rsid w:val="00D00471"/>
    <w:rsid w:val="00D007AB"/>
    <w:rsid w:val="00D025CE"/>
    <w:rsid w:val="00D02624"/>
    <w:rsid w:val="00D06657"/>
    <w:rsid w:val="00D079C0"/>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D04"/>
    <w:rsid w:val="00D365D6"/>
    <w:rsid w:val="00D37E56"/>
    <w:rsid w:val="00D4285D"/>
    <w:rsid w:val="00D460CC"/>
    <w:rsid w:val="00D5053D"/>
    <w:rsid w:val="00D50851"/>
    <w:rsid w:val="00D524FD"/>
    <w:rsid w:val="00D52B60"/>
    <w:rsid w:val="00D53716"/>
    <w:rsid w:val="00D537C9"/>
    <w:rsid w:val="00D60414"/>
    <w:rsid w:val="00D63DAD"/>
    <w:rsid w:val="00D64BF0"/>
    <w:rsid w:val="00D66A93"/>
    <w:rsid w:val="00D757D9"/>
    <w:rsid w:val="00D7649A"/>
    <w:rsid w:val="00D82A50"/>
    <w:rsid w:val="00D849B2"/>
    <w:rsid w:val="00D86725"/>
    <w:rsid w:val="00D9006B"/>
    <w:rsid w:val="00D9108F"/>
    <w:rsid w:val="00D92AAD"/>
    <w:rsid w:val="00D93760"/>
    <w:rsid w:val="00DA1493"/>
    <w:rsid w:val="00DA5423"/>
    <w:rsid w:val="00DA5FFA"/>
    <w:rsid w:val="00DB1250"/>
    <w:rsid w:val="00DB1C87"/>
    <w:rsid w:val="00DB3C65"/>
    <w:rsid w:val="00DB6140"/>
    <w:rsid w:val="00DC063F"/>
    <w:rsid w:val="00DC1A3C"/>
    <w:rsid w:val="00DC1E91"/>
    <w:rsid w:val="00DC3080"/>
    <w:rsid w:val="00DC45E2"/>
    <w:rsid w:val="00DC56CC"/>
    <w:rsid w:val="00DC5C37"/>
    <w:rsid w:val="00DC6B47"/>
    <w:rsid w:val="00DC7BC9"/>
    <w:rsid w:val="00DC7C14"/>
    <w:rsid w:val="00DD1BB9"/>
    <w:rsid w:val="00DD2B54"/>
    <w:rsid w:val="00DD32EB"/>
    <w:rsid w:val="00DD3389"/>
    <w:rsid w:val="00DD3E54"/>
    <w:rsid w:val="00DD43EA"/>
    <w:rsid w:val="00DD53B7"/>
    <w:rsid w:val="00DD65A2"/>
    <w:rsid w:val="00DD7036"/>
    <w:rsid w:val="00DE0846"/>
    <w:rsid w:val="00DE370D"/>
    <w:rsid w:val="00DE51F1"/>
    <w:rsid w:val="00DE544D"/>
    <w:rsid w:val="00DF35AB"/>
    <w:rsid w:val="00DF7926"/>
    <w:rsid w:val="00E00059"/>
    <w:rsid w:val="00E0092D"/>
    <w:rsid w:val="00E01CDC"/>
    <w:rsid w:val="00E05114"/>
    <w:rsid w:val="00E075EC"/>
    <w:rsid w:val="00E077C6"/>
    <w:rsid w:val="00E07E32"/>
    <w:rsid w:val="00E1083C"/>
    <w:rsid w:val="00E10ADC"/>
    <w:rsid w:val="00E13E64"/>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31C2"/>
    <w:rsid w:val="00E44188"/>
    <w:rsid w:val="00E45D39"/>
    <w:rsid w:val="00E46687"/>
    <w:rsid w:val="00E46F02"/>
    <w:rsid w:val="00E51928"/>
    <w:rsid w:val="00E529D5"/>
    <w:rsid w:val="00E53A3A"/>
    <w:rsid w:val="00E60AA9"/>
    <w:rsid w:val="00E61454"/>
    <w:rsid w:val="00E61FF8"/>
    <w:rsid w:val="00E62D55"/>
    <w:rsid w:val="00E64D21"/>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96E99"/>
    <w:rsid w:val="00EA2D95"/>
    <w:rsid w:val="00EA30BD"/>
    <w:rsid w:val="00EB20A0"/>
    <w:rsid w:val="00EB4417"/>
    <w:rsid w:val="00EB6397"/>
    <w:rsid w:val="00EB7FF7"/>
    <w:rsid w:val="00EC527D"/>
    <w:rsid w:val="00EC6E24"/>
    <w:rsid w:val="00ED0627"/>
    <w:rsid w:val="00ED64BA"/>
    <w:rsid w:val="00ED6EF1"/>
    <w:rsid w:val="00ED7CD8"/>
    <w:rsid w:val="00EE2216"/>
    <w:rsid w:val="00EE3BF4"/>
    <w:rsid w:val="00EE5345"/>
    <w:rsid w:val="00EE5B45"/>
    <w:rsid w:val="00EE7A8D"/>
    <w:rsid w:val="00EF1196"/>
    <w:rsid w:val="00EF7983"/>
    <w:rsid w:val="00F02ABD"/>
    <w:rsid w:val="00F03418"/>
    <w:rsid w:val="00F04460"/>
    <w:rsid w:val="00F04DE2"/>
    <w:rsid w:val="00F07BA1"/>
    <w:rsid w:val="00F07ECB"/>
    <w:rsid w:val="00F10B2A"/>
    <w:rsid w:val="00F13A79"/>
    <w:rsid w:val="00F13E59"/>
    <w:rsid w:val="00F14F74"/>
    <w:rsid w:val="00F203B8"/>
    <w:rsid w:val="00F2043D"/>
    <w:rsid w:val="00F20E9C"/>
    <w:rsid w:val="00F20FFE"/>
    <w:rsid w:val="00F22BAD"/>
    <w:rsid w:val="00F231B3"/>
    <w:rsid w:val="00F23848"/>
    <w:rsid w:val="00F238A9"/>
    <w:rsid w:val="00F24FD6"/>
    <w:rsid w:val="00F25609"/>
    <w:rsid w:val="00F2664D"/>
    <w:rsid w:val="00F30712"/>
    <w:rsid w:val="00F37107"/>
    <w:rsid w:val="00F3710E"/>
    <w:rsid w:val="00F37D37"/>
    <w:rsid w:val="00F44642"/>
    <w:rsid w:val="00F4465A"/>
    <w:rsid w:val="00F44A91"/>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7E4F"/>
    <w:rsid w:val="00F80A69"/>
    <w:rsid w:val="00F810CC"/>
    <w:rsid w:val="00F83165"/>
    <w:rsid w:val="00F838CE"/>
    <w:rsid w:val="00F84BDB"/>
    <w:rsid w:val="00F850CB"/>
    <w:rsid w:val="00F86DD6"/>
    <w:rsid w:val="00F90F3F"/>
    <w:rsid w:val="00F96592"/>
    <w:rsid w:val="00F9731C"/>
    <w:rsid w:val="00FA46B4"/>
    <w:rsid w:val="00FA5133"/>
    <w:rsid w:val="00FB0884"/>
    <w:rsid w:val="00FB1D9F"/>
    <w:rsid w:val="00FB3E47"/>
    <w:rsid w:val="00FB51B0"/>
    <w:rsid w:val="00FB68C9"/>
    <w:rsid w:val="00FB7366"/>
    <w:rsid w:val="00FB7438"/>
    <w:rsid w:val="00FB74FF"/>
    <w:rsid w:val="00FC0E7D"/>
    <w:rsid w:val="00FC29A3"/>
    <w:rsid w:val="00FD09A0"/>
    <w:rsid w:val="00FD1DE4"/>
    <w:rsid w:val="00FD208C"/>
    <w:rsid w:val="00FD21DA"/>
    <w:rsid w:val="00FD29C5"/>
    <w:rsid w:val="00FE14D9"/>
    <w:rsid w:val="00FE19A8"/>
    <w:rsid w:val="00FE3BFD"/>
    <w:rsid w:val="00FE3D4D"/>
    <w:rsid w:val="00FE58E8"/>
    <w:rsid w:val="00FE668A"/>
    <w:rsid w:val="00FF0902"/>
    <w:rsid w:val="00FF0969"/>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CCD"/>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bullet1">
    <w:name w:val="bullet1"/>
    <w:basedOn w:val="a"/>
    <w:link w:val="bullet1Char"/>
    <w:qFormat/>
    <w:rsid w:val="00495998"/>
    <w:pPr>
      <w:numPr>
        <w:numId w:val="11"/>
      </w:numPr>
    </w:pPr>
    <w:rPr>
      <w:rFonts w:ascii="Times" w:eastAsia="Batang" w:hAnsi="Times"/>
      <w:sz w:val="20"/>
      <w:lang w:val="en-GB" w:eastAsia="en-US"/>
    </w:rPr>
  </w:style>
  <w:style w:type="paragraph" w:customStyle="1" w:styleId="bullet2">
    <w:name w:val="bullet2"/>
    <w:basedOn w:val="a"/>
    <w:link w:val="bullet2Char"/>
    <w:qFormat/>
    <w:rsid w:val="00495998"/>
    <w:pPr>
      <w:numPr>
        <w:ilvl w:val="1"/>
        <w:numId w:val="11"/>
      </w:numPr>
    </w:pPr>
    <w:rPr>
      <w:rFonts w:ascii="Times" w:eastAsia="Batang" w:hAnsi="Times"/>
      <w:sz w:val="20"/>
      <w:lang w:val="en-GB" w:eastAsia="en-US"/>
    </w:rPr>
  </w:style>
  <w:style w:type="character" w:customStyle="1" w:styleId="bullet1Char">
    <w:name w:val="bullet1 Char"/>
    <w:link w:val="bullet1"/>
    <w:rsid w:val="00495998"/>
    <w:rPr>
      <w:rFonts w:ascii="Times" w:eastAsia="Batang" w:hAnsi="Times" w:cs="Times New Roman"/>
      <w:sz w:val="20"/>
      <w:szCs w:val="24"/>
      <w:lang w:val="en-GB"/>
    </w:rPr>
  </w:style>
  <w:style w:type="paragraph" w:customStyle="1" w:styleId="bullet3">
    <w:name w:val="bullet3"/>
    <w:basedOn w:val="a"/>
    <w:qFormat/>
    <w:rsid w:val="00495998"/>
    <w:pPr>
      <w:numPr>
        <w:ilvl w:val="2"/>
        <w:numId w:val="11"/>
      </w:numPr>
      <w:ind w:hanging="180"/>
    </w:pPr>
    <w:rPr>
      <w:rFonts w:ascii="Times" w:eastAsia="Batang" w:hAnsi="Times"/>
      <w:sz w:val="20"/>
      <w:lang w:val="en-GB" w:eastAsia="en-US"/>
    </w:rPr>
  </w:style>
  <w:style w:type="paragraph" w:customStyle="1" w:styleId="bullet4">
    <w:name w:val="bullet4"/>
    <w:basedOn w:val="a"/>
    <w:qFormat/>
    <w:rsid w:val="00495998"/>
    <w:pPr>
      <w:numPr>
        <w:ilvl w:val="3"/>
        <w:numId w:val="11"/>
      </w:numPr>
    </w:pPr>
    <w:rPr>
      <w:rFonts w:ascii="Times" w:eastAsia="Batang" w:hAnsi="Times"/>
      <w:sz w:val="20"/>
      <w:lang w:val="en-GB" w:eastAsia="en-US"/>
    </w:rPr>
  </w:style>
  <w:style w:type="character" w:customStyle="1" w:styleId="bullet2Char">
    <w:name w:val="bullet2 Char"/>
    <w:link w:val="bullet2"/>
    <w:rsid w:val="00495998"/>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319119242">
      <w:bodyDiv w:val="1"/>
      <w:marLeft w:val="0"/>
      <w:marRight w:val="0"/>
      <w:marTop w:val="0"/>
      <w:marBottom w:val="0"/>
      <w:divBdr>
        <w:top w:val="none" w:sz="0" w:space="0" w:color="auto"/>
        <w:left w:val="none" w:sz="0" w:space="0" w:color="auto"/>
        <w:bottom w:val="none" w:sz="0" w:space="0" w:color="auto"/>
        <w:right w:val="none" w:sz="0" w:space="0" w:color="auto"/>
      </w:divBdr>
    </w:div>
    <w:div w:id="543254824">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0A16F-864F-400A-A6F8-BA4B1FEDD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39</cp:revision>
  <cp:lastPrinted>2016-09-16T03:38:00Z</cp:lastPrinted>
  <dcterms:created xsi:type="dcterms:W3CDTF">2018-10-30T01:20:00Z</dcterms:created>
  <dcterms:modified xsi:type="dcterms:W3CDTF">2018-11-02T01:22:00Z</dcterms:modified>
</cp:coreProperties>
</file>